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C3238" w14:textId="5EAF7E94" w:rsidR="001F5B8D" w:rsidRPr="00CC5771" w:rsidRDefault="001F5B8D" w:rsidP="004D0F4E">
      <w:pPr>
        <w:spacing w:after="240" w:line="480" w:lineRule="auto"/>
        <w:rPr>
          <w:rFonts w:ascii="Times New Roman" w:hAnsi="Times New Roman" w:cs="Times New Roman"/>
          <w:b/>
          <w:lang w:val="en-CA"/>
        </w:rPr>
      </w:pPr>
      <w:r w:rsidRPr="00CC5771">
        <w:rPr>
          <w:rFonts w:ascii="Times New Roman" w:hAnsi="Times New Roman" w:cs="Times New Roman"/>
          <w:b/>
          <w:lang w:val="en-CA"/>
        </w:rPr>
        <w:t xml:space="preserve">The </w:t>
      </w:r>
      <w:r w:rsidR="00E124F1" w:rsidRPr="00CC5771">
        <w:rPr>
          <w:rFonts w:ascii="Times New Roman" w:hAnsi="Times New Roman" w:cs="Times New Roman"/>
          <w:b/>
          <w:lang w:val="en-CA"/>
        </w:rPr>
        <w:t xml:space="preserve">Aftermath </w:t>
      </w:r>
      <w:r w:rsidRPr="00CC5771">
        <w:rPr>
          <w:rFonts w:ascii="Times New Roman" w:hAnsi="Times New Roman" w:cs="Times New Roman"/>
          <w:b/>
          <w:lang w:val="en-CA"/>
        </w:rPr>
        <w:t xml:space="preserve">of Human Rights Protections: Gender Identity, Gender Expression, and the </w:t>
      </w:r>
      <w:r w:rsidR="00F37874" w:rsidRPr="00CC5771">
        <w:rPr>
          <w:rFonts w:ascii="Times New Roman" w:hAnsi="Times New Roman" w:cs="Times New Roman"/>
          <w:b/>
          <w:lang w:val="en-CA"/>
        </w:rPr>
        <w:t xml:space="preserve">Socio-Legal </w:t>
      </w:r>
      <w:r w:rsidRPr="00CC5771">
        <w:rPr>
          <w:rFonts w:ascii="Times New Roman" w:hAnsi="Times New Roman" w:cs="Times New Roman"/>
          <w:b/>
          <w:lang w:val="en-CA"/>
        </w:rPr>
        <w:t>Regulation of School</w:t>
      </w:r>
      <w:r w:rsidR="0009472A" w:rsidRPr="00CC5771">
        <w:rPr>
          <w:rFonts w:ascii="Times New Roman" w:hAnsi="Times New Roman" w:cs="Times New Roman"/>
          <w:b/>
          <w:lang w:val="en-CA"/>
        </w:rPr>
        <w:t xml:space="preserve"> Boards</w:t>
      </w:r>
    </w:p>
    <w:p w14:paraId="2285B8DE" w14:textId="5E2624F6" w:rsidR="00467853" w:rsidRPr="00CC5771" w:rsidRDefault="00467853"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Kyle Kirkup</w:t>
      </w:r>
      <w:r w:rsidR="00377126" w:rsidRPr="00CC5771">
        <w:rPr>
          <w:rFonts w:ascii="Times New Roman" w:hAnsi="Times New Roman" w:cs="Times New Roman"/>
          <w:lang w:val="en-CA"/>
        </w:rPr>
        <w:t xml:space="preserve">, </w:t>
      </w:r>
      <w:r w:rsidRPr="00CC5771">
        <w:rPr>
          <w:rFonts w:ascii="Times New Roman" w:hAnsi="Times New Roman" w:cs="Times New Roman"/>
          <w:lang w:val="en-CA"/>
        </w:rPr>
        <w:t>Lee Airton</w:t>
      </w:r>
      <w:r w:rsidR="00377126" w:rsidRPr="00CC5771">
        <w:rPr>
          <w:rFonts w:ascii="Times New Roman" w:hAnsi="Times New Roman" w:cs="Times New Roman"/>
          <w:lang w:val="en-CA"/>
        </w:rPr>
        <w:t xml:space="preserve">, </w:t>
      </w:r>
      <w:r w:rsidRPr="00CC5771">
        <w:rPr>
          <w:rFonts w:ascii="Times New Roman" w:hAnsi="Times New Roman" w:cs="Times New Roman"/>
          <w:lang w:val="en-CA"/>
        </w:rPr>
        <w:t>Allison McMillan</w:t>
      </w:r>
      <w:r w:rsidR="00377126" w:rsidRPr="00CC5771">
        <w:rPr>
          <w:rFonts w:ascii="Times New Roman" w:hAnsi="Times New Roman" w:cs="Times New Roman"/>
          <w:lang w:val="en-CA"/>
        </w:rPr>
        <w:t xml:space="preserve">, </w:t>
      </w:r>
      <w:r w:rsidR="00912EC7">
        <w:rPr>
          <w:rFonts w:ascii="Times New Roman" w:hAnsi="Times New Roman" w:cs="Times New Roman"/>
          <w:lang w:val="en-CA"/>
        </w:rPr>
        <w:t xml:space="preserve">and </w:t>
      </w:r>
      <w:r w:rsidRPr="00CC5771">
        <w:rPr>
          <w:rFonts w:ascii="Times New Roman" w:hAnsi="Times New Roman" w:cs="Times New Roman"/>
          <w:lang w:val="en-CA"/>
        </w:rPr>
        <w:t>Jacob DesRochers</w:t>
      </w:r>
      <w:r w:rsidR="00D10993" w:rsidRPr="00CC5771">
        <w:rPr>
          <w:rStyle w:val="FootnoteReference"/>
          <w:rFonts w:ascii="Times New Roman" w:hAnsi="Times New Roman" w:cs="Times New Roman"/>
          <w:lang w:val="en-CA"/>
        </w:rPr>
        <w:footnoteReference w:customMarkFollows="1" w:id="1"/>
        <w:t>*</w:t>
      </w:r>
      <w:r w:rsidRPr="00CC5771">
        <w:rPr>
          <w:rFonts w:ascii="Times New Roman" w:hAnsi="Times New Roman" w:cs="Times New Roman"/>
          <w:lang w:val="en-CA"/>
        </w:rPr>
        <w:t xml:space="preserve"> </w:t>
      </w:r>
    </w:p>
    <w:p w14:paraId="3B459F8E" w14:textId="7906DA28" w:rsidR="00193742" w:rsidRPr="00CC5771" w:rsidRDefault="00193742" w:rsidP="004D0F4E">
      <w:pPr>
        <w:spacing w:after="240" w:line="480" w:lineRule="auto"/>
        <w:rPr>
          <w:rFonts w:ascii="Times New Roman" w:hAnsi="Times New Roman" w:cs="Times New Roman"/>
          <w:b/>
          <w:lang w:val="en-CA"/>
        </w:rPr>
      </w:pPr>
      <w:r w:rsidRPr="00CC5771">
        <w:rPr>
          <w:rFonts w:ascii="Times New Roman" w:hAnsi="Times New Roman" w:cs="Times New Roman"/>
          <w:b/>
          <w:lang w:val="en-CA"/>
        </w:rPr>
        <w:t>Abstract</w:t>
      </w:r>
    </w:p>
    <w:p w14:paraId="01367028" w14:textId="73CE6A87" w:rsidR="000C1567" w:rsidRPr="00CC5771" w:rsidRDefault="000C1567" w:rsidP="004D0F4E">
      <w:pPr>
        <w:spacing w:after="240" w:line="480" w:lineRule="auto"/>
        <w:rPr>
          <w:rFonts w:ascii="Times New Roman" w:eastAsia="Times New Roman" w:hAnsi="Times New Roman" w:cs="Times New Roman"/>
          <w:lang w:val="en-CA" w:eastAsia="fr-CA"/>
        </w:rPr>
      </w:pPr>
      <w:r w:rsidRPr="00CC5771">
        <w:rPr>
          <w:rFonts w:ascii="Times New Roman" w:eastAsia="Times New Roman" w:hAnsi="Times New Roman" w:cs="Times New Roman"/>
          <w:lang w:val="en-CA" w:eastAsia="fr-CA"/>
        </w:rPr>
        <w:t>Between 2002 and 2017, Canadian lawmakers sought to redress the pervasive levels of discrimination, harassment, and violence experienced by transgender and/or non-binary people by adding the terms “gender identity” and/or “gender expression” to federal, provincial, and territorial human rights instruments. This paper tracks the complex, iterative ways in which antidiscrimination protections are brought to life outside courts and tribunals. Using Ontario</w:t>
      </w:r>
      <w:r w:rsidR="00912EC7">
        <w:rPr>
          <w:rFonts w:ascii="Times New Roman" w:eastAsia="Times New Roman" w:hAnsi="Times New Roman" w:cs="Times New Roman"/>
          <w:lang w:val="en-CA" w:eastAsia="fr-CA"/>
        </w:rPr>
        <w:t>’</w:t>
      </w:r>
      <w:r w:rsidRPr="00CC5771">
        <w:rPr>
          <w:rFonts w:ascii="Times New Roman" w:eastAsia="Times New Roman" w:hAnsi="Times New Roman" w:cs="Times New Roman"/>
          <w:lang w:val="en-CA" w:eastAsia="fr-CA"/>
        </w:rPr>
        <w:t xml:space="preserve">s publicly-funded English language secular school boards as a case study, we examine how the introduction of explicit human rights protections on the basis of “gender identity” and “gender expression” in 2012 worked to produce a series of responses across the education sector. Given that “gender identity” and “gender expression” remain legally undefined terms in the </w:t>
      </w:r>
      <w:r w:rsidRPr="00461619">
        <w:rPr>
          <w:rFonts w:ascii="Times New Roman" w:eastAsia="Times New Roman" w:hAnsi="Times New Roman" w:cs="Times New Roman"/>
          <w:iCs/>
          <w:lang w:val="en-CA" w:eastAsia="fr-CA"/>
        </w:rPr>
        <w:t>Ontario</w:t>
      </w:r>
      <w:r w:rsidRPr="00CC5771">
        <w:rPr>
          <w:rFonts w:ascii="Times New Roman" w:eastAsia="Times New Roman" w:hAnsi="Times New Roman" w:cs="Times New Roman"/>
          <w:i/>
          <w:iCs/>
          <w:lang w:val="en-CA" w:eastAsia="fr-CA"/>
        </w:rPr>
        <w:t xml:space="preserve"> Human Rights Code</w:t>
      </w:r>
      <w:r w:rsidRPr="00CC5771">
        <w:rPr>
          <w:rFonts w:ascii="Times New Roman" w:eastAsia="Times New Roman" w:hAnsi="Times New Roman" w:cs="Times New Roman"/>
          <w:lang w:val="en-CA" w:eastAsia="fr-CA"/>
        </w:rPr>
        <w:t>, and only provisionally defined by Ontario Human Rights Commission</w:t>
      </w:r>
      <w:r w:rsidR="00F55817">
        <w:rPr>
          <w:rFonts w:ascii="Times New Roman" w:eastAsia="Times New Roman" w:hAnsi="Times New Roman" w:cs="Times New Roman"/>
          <w:lang w:val="en-CA" w:eastAsia="fr-CA"/>
        </w:rPr>
        <w:t xml:space="preserve"> (OHRC)</w:t>
      </w:r>
      <w:r w:rsidRPr="00CC5771">
        <w:rPr>
          <w:rFonts w:ascii="Times New Roman" w:eastAsia="Times New Roman" w:hAnsi="Times New Roman" w:cs="Times New Roman"/>
          <w:lang w:val="en-CA" w:eastAsia="fr-CA"/>
        </w:rPr>
        <w:t xml:space="preserve"> policy, we argue that school boards constitute important actors engaged in constructing the meanings of these terms in policy and practice. In decentering courts and tribunals in our analysis, we aim to uncover the everyday practices of parallel norm-making taking place in the education context. These everyday practices shape how we collectively understand the meaning of “gender identity” and “gender expression</w:t>
      </w:r>
      <w:r w:rsidR="009C3F79">
        <w:rPr>
          <w:rFonts w:ascii="Times New Roman" w:eastAsia="Times New Roman" w:hAnsi="Times New Roman" w:cs="Times New Roman"/>
          <w:lang w:val="en-CA" w:eastAsia="fr-CA"/>
        </w:rPr>
        <w:t>.”</w:t>
      </w:r>
      <w:r w:rsidRPr="00CC5771">
        <w:rPr>
          <w:rFonts w:ascii="Times New Roman" w:eastAsia="Times New Roman" w:hAnsi="Times New Roman" w:cs="Times New Roman"/>
          <w:lang w:val="en-CA" w:eastAsia="fr-CA"/>
        </w:rPr>
        <w:t xml:space="preserve"> By carefully tracking these post-legislative </w:t>
      </w:r>
      <w:r w:rsidRPr="00CC5771">
        <w:rPr>
          <w:rFonts w:ascii="Times New Roman" w:eastAsia="Times New Roman" w:hAnsi="Times New Roman" w:cs="Times New Roman"/>
          <w:lang w:val="en-CA" w:eastAsia="fr-CA"/>
        </w:rPr>
        <w:lastRenderedPageBreak/>
        <w:t xml:space="preserve">developments, which rarely make their way into reported decisions, we suggest that human rights law reforms might open up space for the emergence of norms that allow people to do gender in a variety of ways. </w:t>
      </w:r>
    </w:p>
    <w:p w14:paraId="2FDABA55" w14:textId="73CA1B66" w:rsidR="000C1567" w:rsidRPr="00CC5771" w:rsidRDefault="000C1567" w:rsidP="004D0F4E">
      <w:pPr>
        <w:spacing w:after="240" w:line="480" w:lineRule="auto"/>
        <w:rPr>
          <w:rFonts w:ascii="Times New Roman" w:hAnsi="Times New Roman" w:cs="Times New Roman"/>
          <w:color w:val="000000"/>
          <w:shd w:val="clear" w:color="auto" w:fill="FFFFFF"/>
          <w:lang w:val="en-CA"/>
        </w:rPr>
      </w:pPr>
      <w:r w:rsidRPr="00CC5771">
        <w:rPr>
          <w:rFonts w:ascii="Times New Roman" w:hAnsi="Times New Roman" w:cs="Times New Roman"/>
          <w:b/>
          <w:bCs/>
          <w:color w:val="000000"/>
          <w:shd w:val="clear" w:color="auto" w:fill="FFFFFF"/>
          <w:lang w:val="en-CA"/>
        </w:rPr>
        <w:t>Key words</w:t>
      </w:r>
      <w:r w:rsidRPr="000A28AC">
        <w:rPr>
          <w:rFonts w:ascii="Times New Roman" w:hAnsi="Times New Roman" w:cs="Times New Roman"/>
          <w:b/>
          <w:color w:val="000000"/>
          <w:shd w:val="clear" w:color="auto" w:fill="FFFFFF"/>
          <w:lang w:val="en-CA"/>
        </w:rPr>
        <w:t>:</w:t>
      </w:r>
      <w:r w:rsidRPr="00CC5771">
        <w:rPr>
          <w:rFonts w:ascii="Times New Roman" w:hAnsi="Times New Roman" w:cs="Times New Roman"/>
          <w:color w:val="000000"/>
          <w:shd w:val="clear" w:color="auto" w:fill="FFFFFF"/>
          <w:lang w:val="en-CA"/>
        </w:rPr>
        <w:t xml:space="preserve"> Human rights law; education; trans legal studies</w:t>
      </w:r>
      <w:r w:rsidR="00912EC7">
        <w:rPr>
          <w:rFonts w:ascii="Times New Roman" w:hAnsi="Times New Roman" w:cs="Times New Roman"/>
          <w:color w:val="000000"/>
          <w:shd w:val="clear" w:color="auto" w:fill="FFFFFF"/>
          <w:lang w:val="en-CA"/>
        </w:rPr>
        <w:t>.</w:t>
      </w:r>
    </w:p>
    <w:p w14:paraId="0196257B" w14:textId="723290B3" w:rsidR="000C1567" w:rsidRPr="00CC5771" w:rsidRDefault="000C1567" w:rsidP="004D0F4E">
      <w:pPr>
        <w:spacing w:after="240" w:line="480" w:lineRule="auto"/>
        <w:rPr>
          <w:rFonts w:ascii="Times New Roman" w:hAnsi="Times New Roman" w:cs="Times New Roman"/>
          <w:color w:val="000000"/>
          <w:shd w:val="clear" w:color="auto" w:fill="FFFFFF"/>
          <w:lang w:val="en-CA"/>
        </w:rPr>
      </w:pPr>
      <w:r w:rsidRPr="00CC5771">
        <w:rPr>
          <w:rFonts w:ascii="Times New Roman" w:hAnsi="Times New Roman" w:cs="Times New Roman"/>
          <w:b/>
          <w:bCs/>
          <w:color w:val="000000"/>
          <w:shd w:val="clear" w:color="auto" w:fill="FFFFFF"/>
          <w:lang w:val="en-CA"/>
        </w:rPr>
        <w:t>Résumé</w:t>
      </w:r>
      <w:r w:rsidRPr="00CC5771">
        <w:rPr>
          <w:rFonts w:ascii="Times New Roman" w:hAnsi="Times New Roman" w:cs="Times New Roman"/>
          <w:color w:val="000000"/>
          <w:shd w:val="clear" w:color="auto" w:fill="FFFFFF"/>
          <w:lang w:val="en-CA"/>
        </w:rPr>
        <w:t xml:space="preserve"> </w:t>
      </w:r>
    </w:p>
    <w:p w14:paraId="47887EBB" w14:textId="189C729C" w:rsidR="000C1567" w:rsidRPr="00653C67" w:rsidRDefault="000C1567" w:rsidP="004D0F4E">
      <w:pPr>
        <w:spacing w:after="240" w:line="480" w:lineRule="auto"/>
        <w:rPr>
          <w:rFonts w:ascii="Times New Roman" w:hAnsi="Times New Roman" w:cs="Times New Roman"/>
          <w:color w:val="000000"/>
          <w:shd w:val="clear" w:color="auto" w:fill="FFFFFF"/>
          <w:lang w:val="fr-CA"/>
        </w:rPr>
      </w:pPr>
      <w:r w:rsidRPr="00653C67">
        <w:rPr>
          <w:rFonts w:ascii="Times New Roman" w:hAnsi="Times New Roman" w:cs="Times New Roman"/>
          <w:color w:val="000000"/>
          <w:shd w:val="clear" w:color="auto" w:fill="FFFFFF"/>
          <w:lang w:val="fr-CA"/>
        </w:rPr>
        <w:t>Entre 2002 et 2017, les législateurs canadiens ont cherché à remédier à l</w:t>
      </w:r>
      <w:r w:rsidR="00912EC7">
        <w:rPr>
          <w:rFonts w:ascii="Times New Roman" w:hAnsi="Times New Roman" w:cs="Times New Roman"/>
          <w:color w:val="000000"/>
          <w:shd w:val="clear" w:color="auto" w:fill="FFFFFF"/>
          <w:lang w:val="fr-CA"/>
        </w:rPr>
        <w:t>’</w:t>
      </w:r>
      <w:r w:rsidRPr="00653C67">
        <w:rPr>
          <w:rFonts w:ascii="Times New Roman" w:hAnsi="Times New Roman" w:cs="Times New Roman"/>
          <w:color w:val="000000"/>
          <w:shd w:val="clear" w:color="auto" w:fill="FFFFFF"/>
          <w:lang w:val="fr-CA"/>
        </w:rPr>
        <w:t>omniprésence de la discrimination, du harcèlement et de la violence subis par les personnes transgenres et/ou non binaires en ajoutant «</w:t>
      </w:r>
      <w:r w:rsidR="00912EC7">
        <w:rPr>
          <w:rFonts w:ascii="Times New Roman" w:hAnsi="Times New Roman" w:cs="Times New Roman"/>
          <w:color w:val="000000"/>
          <w:shd w:val="clear" w:color="auto" w:fill="FFFFFF"/>
          <w:lang w:val="fr-CA"/>
        </w:rPr>
        <w:t> </w:t>
      </w:r>
      <w:r w:rsidR="00FB42BE">
        <w:rPr>
          <w:rFonts w:ascii="Times New Roman" w:hAnsi="Times New Roman" w:cs="Times New Roman"/>
          <w:color w:val="000000"/>
          <w:shd w:val="clear" w:color="auto" w:fill="FFFFFF"/>
          <w:lang w:val="fr-CA"/>
        </w:rPr>
        <w:t>l’</w:t>
      </w:r>
      <w:r w:rsidRPr="00653C67">
        <w:rPr>
          <w:rFonts w:ascii="Times New Roman" w:hAnsi="Times New Roman" w:cs="Times New Roman"/>
          <w:color w:val="000000"/>
          <w:shd w:val="clear" w:color="auto" w:fill="FFFFFF"/>
          <w:lang w:val="fr-CA"/>
        </w:rPr>
        <w:t xml:space="preserve">identité </w:t>
      </w:r>
      <w:r w:rsidR="00FB42BE">
        <w:rPr>
          <w:rFonts w:ascii="Times New Roman" w:hAnsi="Times New Roman" w:cs="Times New Roman"/>
          <w:color w:val="000000"/>
          <w:shd w:val="clear" w:color="auto" w:fill="FFFFFF"/>
          <w:lang w:val="fr-CA"/>
        </w:rPr>
        <w:t>sexuelle</w:t>
      </w:r>
      <w:r w:rsidR="00912EC7">
        <w:rPr>
          <w:rFonts w:ascii="Times New Roman" w:hAnsi="Times New Roman" w:cs="Times New Roman"/>
          <w:color w:val="000000"/>
          <w:shd w:val="clear" w:color="auto" w:fill="FFFFFF"/>
          <w:lang w:val="fr-CA"/>
        </w:rPr>
        <w:t> </w:t>
      </w:r>
      <w:r w:rsidRPr="00653C67">
        <w:rPr>
          <w:rFonts w:ascii="Times New Roman" w:hAnsi="Times New Roman" w:cs="Times New Roman"/>
          <w:color w:val="000000"/>
          <w:shd w:val="clear" w:color="auto" w:fill="FFFFFF"/>
          <w:lang w:val="fr-CA"/>
        </w:rPr>
        <w:t>» et/ou «</w:t>
      </w:r>
      <w:r w:rsidR="00912EC7">
        <w:rPr>
          <w:rFonts w:ascii="Times New Roman" w:hAnsi="Times New Roman" w:cs="Times New Roman"/>
          <w:color w:val="000000"/>
          <w:shd w:val="clear" w:color="auto" w:fill="FFFFFF"/>
          <w:lang w:val="fr-CA"/>
        </w:rPr>
        <w:t> </w:t>
      </w:r>
      <w:r w:rsidR="00FB42BE">
        <w:rPr>
          <w:rFonts w:ascii="Times New Roman" w:hAnsi="Times New Roman" w:cs="Times New Roman"/>
          <w:color w:val="000000"/>
          <w:shd w:val="clear" w:color="auto" w:fill="FFFFFF"/>
          <w:lang w:val="fr-CA"/>
        </w:rPr>
        <w:t>l’</w:t>
      </w:r>
      <w:r w:rsidRPr="00653C67">
        <w:rPr>
          <w:rFonts w:ascii="Times New Roman" w:hAnsi="Times New Roman" w:cs="Times New Roman"/>
          <w:color w:val="000000"/>
          <w:shd w:val="clear" w:color="auto" w:fill="FFFFFF"/>
          <w:lang w:val="fr-CA"/>
        </w:rPr>
        <w:t xml:space="preserve">expression de </w:t>
      </w:r>
      <w:r w:rsidR="00FB42BE">
        <w:rPr>
          <w:rFonts w:ascii="Times New Roman" w:hAnsi="Times New Roman" w:cs="Times New Roman"/>
          <w:color w:val="000000"/>
          <w:shd w:val="clear" w:color="auto" w:fill="FFFFFF"/>
          <w:lang w:val="fr-CA"/>
        </w:rPr>
        <w:t>l’</w:t>
      </w:r>
      <w:r w:rsidR="00FB42BE" w:rsidRPr="00653C67">
        <w:rPr>
          <w:rFonts w:ascii="Times New Roman" w:hAnsi="Times New Roman" w:cs="Times New Roman"/>
          <w:color w:val="000000"/>
          <w:shd w:val="clear" w:color="auto" w:fill="FFFFFF"/>
          <w:lang w:val="fr-CA"/>
        </w:rPr>
        <w:t xml:space="preserve">identité </w:t>
      </w:r>
      <w:r w:rsidR="00FB42BE">
        <w:rPr>
          <w:rFonts w:ascii="Times New Roman" w:hAnsi="Times New Roman" w:cs="Times New Roman"/>
          <w:color w:val="000000"/>
          <w:shd w:val="clear" w:color="auto" w:fill="FFFFFF"/>
          <w:lang w:val="fr-CA"/>
        </w:rPr>
        <w:t>sexuelle </w:t>
      </w:r>
      <w:r w:rsidRPr="00653C67">
        <w:rPr>
          <w:rFonts w:ascii="Times New Roman" w:hAnsi="Times New Roman" w:cs="Times New Roman"/>
          <w:color w:val="000000"/>
          <w:shd w:val="clear" w:color="auto" w:fill="FFFFFF"/>
          <w:lang w:val="fr-CA"/>
        </w:rPr>
        <w:t>» aux instruments de droits fédéraux, provinciaux et territoriaux. Cet article retrace les moyens complexes et itératifs par lesquels les protections antidiscriminatoires sont mises en œuvre à l</w:t>
      </w:r>
      <w:r w:rsidR="00912EC7">
        <w:rPr>
          <w:rFonts w:ascii="Times New Roman" w:hAnsi="Times New Roman" w:cs="Times New Roman"/>
          <w:color w:val="000000"/>
          <w:shd w:val="clear" w:color="auto" w:fill="FFFFFF"/>
          <w:lang w:val="fr-CA"/>
        </w:rPr>
        <w:t>’</w:t>
      </w:r>
      <w:r w:rsidRPr="00653C67">
        <w:rPr>
          <w:rFonts w:ascii="Times New Roman" w:hAnsi="Times New Roman" w:cs="Times New Roman"/>
          <w:color w:val="000000"/>
          <w:shd w:val="clear" w:color="auto" w:fill="FFFFFF"/>
          <w:lang w:val="fr-CA"/>
        </w:rPr>
        <w:t>extérieur des tribunaux et des cours de justice. En utilisant, comme cas d</w:t>
      </w:r>
      <w:r w:rsidR="00912EC7">
        <w:rPr>
          <w:rFonts w:ascii="Times New Roman" w:hAnsi="Times New Roman" w:cs="Times New Roman"/>
          <w:color w:val="000000"/>
          <w:shd w:val="clear" w:color="auto" w:fill="FFFFFF"/>
          <w:lang w:val="fr-CA"/>
        </w:rPr>
        <w:t>’</w:t>
      </w:r>
      <w:r w:rsidRPr="00653C67">
        <w:rPr>
          <w:rFonts w:ascii="Times New Roman" w:hAnsi="Times New Roman" w:cs="Times New Roman"/>
          <w:color w:val="000000"/>
          <w:shd w:val="clear" w:color="auto" w:fill="FFFFFF"/>
          <w:lang w:val="fr-CA"/>
        </w:rPr>
        <w:t>étude, les conseils scolaires laïques et anglophones qui sont financés par les fonds publics ontariens, nous examinons comment l</w:t>
      </w:r>
      <w:r w:rsidR="00912EC7">
        <w:rPr>
          <w:rFonts w:ascii="Times New Roman" w:hAnsi="Times New Roman" w:cs="Times New Roman"/>
          <w:color w:val="000000"/>
          <w:shd w:val="clear" w:color="auto" w:fill="FFFFFF"/>
          <w:lang w:val="fr-CA"/>
        </w:rPr>
        <w:t>’</w:t>
      </w:r>
      <w:r w:rsidRPr="00653C67">
        <w:rPr>
          <w:rFonts w:ascii="Times New Roman" w:hAnsi="Times New Roman" w:cs="Times New Roman"/>
          <w:color w:val="000000"/>
          <w:shd w:val="clear" w:color="auto" w:fill="FFFFFF"/>
          <w:lang w:val="fr-CA"/>
        </w:rPr>
        <w:t>introduction de dispositions légales protégeant explicitement « l</w:t>
      </w:r>
      <w:r w:rsidR="00912EC7">
        <w:rPr>
          <w:rFonts w:ascii="Times New Roman" w:hAnsi="Times New Roman" w:cs="Times New Roman"/>
          <w:color w:val="000000"/>
          <w:shd w:val="clear" w:color="auto" w:fill="FFFFFF"/>
          <w:lang w:val="fr-CA"/>
        </w:rPr>
        <w:t>’</w:t>
      </w:r>
      <w:r w:rsidRPr="00653C67">
        <w:rPr>
          <w:rFonts w:ascii="Times New Roman" w:hAnsi="Times New Roman" w:cs="Times New Roman"/>
          <w:color w:val="000000"/>
          <w:shd w:val="clear" w:color="auto" w:fill="FFFFFF"/>
          <w:lang w:val="fr-CA"/>
        </w:rPr>
        <w:t xml:space="preserve">identité </w:t>
      </w:r>
      <w:r w:rsidR="00E7496C">
        <w:rPr>
          <w:rFonts w:ascii="Times New Roman" w:hAnsi="Times New Roman" w:cs="Times New Roman"/>
          <w:color w:val="000000"/>
          <w:shd w:val="clear" w:color="auto" w:fill="FFFFFF"/>
          <w:lang w:val="fr-CA"/>
        </w:rPr>
        <w:t>sexuelle</w:t>
      </w:r>
      <w:r w:rsidRPr="00653C67">
        <w:rPr>
          <w:rFonts w:ascii="Times New Roman" w:hAnsi="Times New Roman" w:cs="Times New Roman"/>
          <w:color w:val="000000"/>
          <w:shd w:val="clear" w:color="auto" w:fill="FFFFFF"/>
          <w:lang w:val="fr-CA"/>
        </w:rPr>
        <w:t xml:space="preserve"> » et « l</w:t>
      </w:r>
      <w:r w:rsidR="00912EC7">
        <w:rPr>
          <w:rFonts w:ascii="Times New Roman" w:hAnsi="Times New Roman" w:cs="Times New Roman"/>
          <w:color w:val="000000"/>
          <w:shd w:val="clear" w:color="auto" w:fill="FFFFFF"/>
          <w:lang w:val="fr-CA"/>
        </w:rPr>
        <w:t>’</w:t>
      </w:r>
      <w:r w:rsidRPr="00653C67">
        <w:rPr>
          <w:rFonts w:ascii="Times New Roman" w:hAnsi="Times New Roman" w:cs="Times New Roman"/>
          <w:color w:val="000000"/>
          <w:shd w:val="clear" w:color="auto" w:fill="FFFFFF"/>
          <w:lang w:val="fr-CA"/>
        </w:rPr>
        <w:t xml:space="preserve">expression </w:t>
      </w:r>
      <w:r w:rsidR="00E7496C">
        <w:rPr>
          <w:rFonts w:ascii="Times New Roman" w:hAnsi="Times New Roman" w:cs="Times New Roman"/>
          <w:color w:val="000000"/>
          <w:shd w:val="clear" w:color="auto" w:fill="FFFFFF"/>
          <w:lang w:val="fr-CA"/>
        </w:rPr>
        <w:t xml:space="preserve">de </w:t>
      </w:r>
      <w:r w:rsidR="00E7496C" w:rsidRPr="00653C67">
        <w:rPr>
          <w:rFonts w:ascii="Times New Roman" w:hAnsi="Times New Roman" w:cs="Times New Roman"/>
          <w:color w:val="000000"/>
          <w:shd w:val="clear" w:color="auto" w:fill="FFFFFF"/>
          <w:lang w:val="fr-CA"/>
        </w:rPr>
        <w:t>l</w:t>
      </w:r>
      <w:r w:rsidR="00E7496C">
        <w:rPr>
          <w:rFonts w:ascii="Times New Roman" w:hAnsi="Times New Roman" w:cs="Times New Roman"/>
          <w:color w:val="000000"/>
          <w:shd w:val="clear" w:color="auto" w:fill="FFFFFF"/>
          <w:lang w:val="fr-CA"/>
        </w:rPr>
        <w:t>’</w:t>
      </w:r>
      <w:r w:rsidR="00E7496C" w:rsidRPr="00653C67">
        <w:rPr>
          <w:rFonts w:ascii="Times New Roman" w:hAnsi="Times New Roman" w:cs="Times New Roman"/>
          <w:color w:val="000000"/>
          <w:shd w:val="clear" w:color="auto" w:fill="FFFFFF"/>
          <w:lang w:val="fr-CA"/>
        </w:rPr>
        <w:t xml:space="preserve">identité </w:t>
      </w:r>
      <w:r w:rsidR="00E7496C">
        <w:rPr>
          <w:rFonts w:ascii="Times New Roman" w:hAnsi="Times New Roman" w:cs="Times New Roman"/>
          <w:color w:val="000000"/>
          <w:shd w:val="clear" w:color="auto" w:fill="FFFFFF"/>
          <w:lang w:val="fr-CA"/>
        </w:rPr>
        <w:t>sexuelle</w:t>
      </w:r>
      <w:r w:rsidR="00DF045C">
        <w:rPr>
          <w:rFonts w:ascii="Times New Roman" w:hAnsi="Times New Roman" w:cs="Times New Roman"/>
          <w:color w:val="000000"/>
          <w:shd w:val="clear" w:color="auto" w:fill="FFFFFF"/>
          <w:lang w:val="fr-CA"/>
        </w:rPr>
        <w:t xml:space="preserve"> </w:t>
      </w:r>
      <w:r w:rsidRPr="00653C67">
        <w:rPr>
          <w:rFonts w:ascii="Times New Roman" w:hAnsi="Times New Roman" w:cs="Times New Roman"/>
          <w:color w:val="000000"/>
          <w:shd w:val="clear" w:color="auto" w:fill="FFFFFF"/>
          <w:lang w:val="fr-CA"/>
        </w:rPr>
        <w:t xml:space="preserve">», </w:t>
      </w:r>
      <w:r w:rsidR="00F45C86">
        <w:rPr>
          <w:rFonts w:ascii="Times New Roman" w:hAnsi="Times New Roman" w:cs="Times New Roman"/>
          <w:color w:val="000000"/>
          <w:shd w:val="clear" w:color="auto" w:fill="FFFFFF"/>
          <w:lang w:val="fr-CA"/>
        </w:rPr>
        <w:t>en</w:t>
      </w:r>
      <w:r w:rsidRPr="00653C67">
        <w:rPr>
          <w:rFonts w:ascii="Times New Roman" w:hAnsi="Times New Roman" w:cs="Times New Roman"/>
          <w:color w:val="000000"/>
          <w:shd w:val="clear" w:color="auto" w:fill="FFFFFF"/>
          <w:lang w:val="fr-CA"/>
        </w:rPr>
        <w:t xml:space="preserve"> 2012, </w:t>
      </w:r>
      <w:r w:rsidR="00F45C86">
        <w:rPr>
          <w:rFonts w:ascii="Times New Roman" w:hAnsi="Times New Roman" w:cs="Times New Roman"/>
          <w:color w:val="000000"/>
          <w:shd w:val="clear" w:color="auto" w:fill="FFFFFF"/>
          <w:lang w:val="fr-CA"/>
        </w:rPr>
        <w:t>s’est traduit par</w:t>
      </w:r>
      <w:r w:rsidRPr="00653C67">
        <w:rPr>
          <w:rFonts w:ascii="Times New Roman" w:hAnsi="Times New Roman" w:cs="Times New Roman"/>
          <w:color w:val="000000"/>
          <w:shd w:val="clear" w:color="auto" w:fill="FFFFFF"/>
          <w:lang w:val="fr-CA"/>
        </w:rPr>
        <w:t xml:space="preserve"> une série de réponses dans le secteur de l</w:t>
      </w:r>
      <w:r w:rsidR="00912EC7">
        <w:rPr>
          <w:rFonts w:ascii="Times New Roman" w:hAnsi="Times New Roman" w:cs="Times New Roman"/>
          <w:color w:val="000000"/>
          <w:shd w:val="clear" w:color="auto" w:fill="FFFFFF"/>
          <w:lang w:val="fr-CA"/>
        </w:rPr>
        <w:t>’</w:t>
      </w:r>
      <w:r w:rsidRPr="00653C67">
        <w:rPr>
          <w:rFonts w:ascii="Times New Roman" w:hAnsi="Times New Roman" w:cs="Times New Roman"/>
          <w:color w:val="000000"/>
          <w:shd w:val="clear" w:color="auto" w:fill="FFFFFF"/>
          <w:lang w:val="fr-CA"/>
        </w:rPr>
        <w:t>éducation.</w:t>
      </w:r>
      <w:r w:rsidR="000D72A4">
        <w:rPr>
          <w:rFonts w:ascii="Times New Roman" w:hAnsi="Times New Roman" w:cs="Times New Roman"/>
          <w:color w:val="000000"/>
          <w:shd w:val="clear" w:color="auto" w:fill="FFFFFF"/>
          <w:lang w:val="fr-CA"/>
        </w:rPr>
        <w:t xml:space="preserve"> </w:t>
      </w:r>
      <w:r w:rsidR="00F45C86">
        <w:rPr>
          <w:rFonts w:ascii="Times New Roman" w:hAnsi="Times New Roman" w:cs="Times New Roman"/>
          <w:color w:val="000000"/>
          <w:shd w:val="clear" w:color="auto" w:fill="FFFFFF"/>
          <w:lang w:val="fr-CA"/>
        </w:rPr>
        <w:t>Étant donné que</w:t>
      </w:r>
      <w:r w:rsidRPr="00653C67">
        <w:rPr>
          <w:rFonts w:ascii="Times New Roman" w:hAnsi="Times New Roman" w:cs="Times New Roman"/>
          <w:color w:val="000000"/>
          <w:shd w:val="clear" w:color="auto" w:fill="FFFFFF"/>
          <w:lang w:val="fr-CA"/>
        </w:rPr>
        <w:t xml:space="preserve"> «</w:t>
      </w:r>
      <w:r w:rsidR="00912EC7">
        <w:rPr>
          <w:rFonts w:ascii="Times New Roman" w:hAnsi="Times New Roman" w:cs="Times New Roman"/>
          <w:color w:val="000000"/>
          <w:shd w:val="clear" w:color="auto" w:fill="FFFFFF"/>
          <w:lang w:val="fr-CA"/>
        </w:rPr>
        <w:t> </w:t>
      </w:r>
      <w:r w:rsidRPr="00653C67">
        <w:rPr>
          <w:rFonts w:ascii="Times New Roman" w:hAnsi="Times New Roman" w:cs="Times New Roman"/>
          <w:color w:val="000000"/>
          <w:shd w:val="clear" w:color="auto" w:fill="FFFFFF"/>
          <w:lang w:val="fr-CA"/>
        </w:rPr>
        <w:t>l</w:t>
      </w:r>
      <w:r w:rsidR="00912EC7">
        <w:rPr>
          <w:rFonts w:ascii="Times New Roman" w:hAnsi="Times New Roman" w:cs="Times New Roman"/>
          <w:color w:val="000000"/>
          <w:shd w:val="clear" w:color="auto" w:fill="FFFFFF"/>
          <w:lang w:val="fr-CA"/>
        </w:rPr>
        <w:t>’</w:t>
      </w:r>
      <w:r w:rsidRPr="00653C67">
        <w:rPr>
          <w:rFonts w:ascii="Times New Roman" w:hAnsi="Times New Roman" w:cs="Times New Roman"/>
          <w:color w:val="000000"/>
          <w:shd w:val="clear" w:color="auto" w:fill="FFFFFF"/>
          <w:lang w:val="fr-CA"/>
        </w:rPr>
        <w:t xml:space="preserve">identité </w:t>
      </w:r>
      <w:r w:rsidR="00E7496C">
        <w:rPr>
          <w:rFonts w:ascii="Times New Roman" w:hAnsi="Times New Roman" w:cs="Times New Roman"/>
          <w:color w:val="000000"/>
          <w:shd w:val="clear" w:color="auto" w:fill="FFFFFF"/>
          <w:lang w:val="fr-CA"/>
        </w:rPr>
        <w:t xml:space="preserve">sexuelle </w:t>
      </w:r>
      <w:r w:rsidRPr="00653C67">
        <w:rPr>
          <w:rFonts w:ascii="Times New Roman" w:hAnsi="Times New Roman" w:cs="Times New Roman"/>
          <w:color w:val="000000"/>
          <w:shd w:val="clear" w:color="auto" w:fill="FFFFFF"/>
          <w:lang w:val="fr-CA"/>
        </w:rPr>
        <w:t>» et «</w:t>
      </w:r>
      <w:r w:rsidR="00912EC7">
        <w:rPr>
          <w:rFonts w:ascii="Times New Roman" w:hAnsi="Times New Roman" w:cs="Times New Roman"/>
          <w:color w:val="000000"/>
          <w:shd w:val="clear" w:color="auto" w:fill="FFFFFF"/>
          <w:lang w:val="fr-CA"/>
        </w:rPr>
        <w:t> </w:t>
      </w:r>
      <w:r w:rsidRPr="00653C67">
        <w:rPr>
          <w:rFonts w:ascii="Times New Roman" w:hAnsi="Times New Roman" w:cs="Times New Roman"/>
          <w:color w:val="000000"/>
          <w:shd w:val="clear" w:color="auto" w:fill="FFFFFF"/>
          <w:lang w:val="fr-CA"/>
        </w:rPr>
        <w:t>l</w:t>
      </w:r>
      <w:r w:rsidR="00912EC7">
        <w:rPr>
          <w:rFonts w:ascii="Times New Roman" w:hAnsi="Times New Roman" w:cs="Times New Roman"/>
          <w:color w:val="000000"/>
          <w:shd w:val="clear" w:color="auto" w:fill="FFFFFF"/>
          <w:lang w:val="fr-CA"/>
        </w:rPr>
        <w:t>’</w:t>
      </w:r>
      <w:r w:rsidRPr="00653C67">
        <w:rPr>
          <w:rFonts w:ascii="Times New Roman" w:hAnsi="Times New Roman" w:cs="Times New Roman"/>
          <w:color w:val="000000"/>
          <w:shd w:val="clear" w:color="auto" w:fill="FFFFFF"/>
          <w:lang w:val="fr-CA"/>
        </w:rPr>
        <w:t xml:space="preserve">expression de </w:t>
      </w:r>
      <w:r w:rsidR="00E7496C" w:rsidRPr="00653C67">
        <w:rPr>
          <w:rFonts w:ascii="Times New Roman" w:hAnsi="Times New Roman" w:cs="Times New Roman"/>
          <w:color w:val="000000"/>
          <w:shd w:val="clear" w:color="auto" w:fill="FFFFFF"/>
          <w:lang w:val="fr-CA"/>
        </w:rPr>
        <w:t>l</w:t>
      </w:r>
      <w:r w:rsidR="00E7496C">
        <w:rPr>
          <w:rFonts w:ascii="Times New Roman" w:hAnsi="Times New Roman" w:cs="Times New Roman"/>
          <w:color w:val="000000"/>
          <w:shd w:val="clear" w:color="auto" w:fill="FFFFFF"/>
          <w:lang w:val="fr-CA"/>
        </w:rPr>
        <w:t>’</w:t>
      </w:r>
      <w:r w:rsidR="00E7496C" w:rsidRPr="00653C67">
        <w:rPr>
          <w:rFonts w:ascii="Times New Roman" w:hAnsi="Times New Roman" w:cs="Times New Roman"/>
          <w:color w:val="000000"/>
          <w:shd w:val="clear" w:color="auto" w:fill="FFFFFF"/>
          <w:lang w:val="fr-CA"/>
        </w:rPr>
        <w:t xml:space="preserve">identité </w:t>
      </w:r>
      <w:r w:rsidR="00E7496C">
        <w:rPr>
          <w:rFonts w:ascii="Times New Roman" w:hAnsi="Times New Roman" w:cs="Times New Roman"/>
          <w:color w:val="000000"/>
          <w:shd w:val="clear" w:color="auto" w:fill="FFFFFF"/>
          <w:lang w:val="fr-CA"/>
        </w:rPr>
        <w:t xml:space="preserve">sexuelle </w:t>
      </w:r>
      <w:r w:rsidRPr="00653C67">
        <w:rPr>
          <w:rFonts w:ascii="Times New Roman" w:hAnsi="Times New Roman" w:cs="Times New Roman"/>
          <w:color w:val="000000"/>
          <w:shd w:val="clear" w:color="auto" w:fill="FFFFFF"/>
          <w:lang w:val="fr-CA"/>
        </w:rPr>
        <w:t xml:space="preserve">» restent des termes juridiquement indéfinis dans le </w:t>
      </w:r>
      <w:r w:rsidRPr="00653C67">
        <w:rPr>
          <w:rFonts w:ascii="Times New Roman" w:hAnsi="Times New Roman" w:cs="Times New Roman"/>
          <w:i/>
          <w:iCs/>
          <w:color w:val="000000"/>
          <w:shd w:val="clear" w:color="auto" w:fill="FFFFFF"/>
          <w:lang w:val="fr-CA"/>
        </w:rPr>
        <w:t>Code des droits de la personne de l</w:t>
      </w:r>
      <w:r w:rsidR="00912EC7">
        <w:rPr>
          <w:rFonts w:ascii="Times New Roman" w:hAnsi="Times New Roman" w:cs="Times New Roman"/>
          <w:i/>
          <w:iCs/>
          <w:color w:val="000000"/>
          <w:shd w:val="clear" w:color="auto" w:fill="FFFFFF"/>
          <w:lang w:val="fr-CA"/>
        </w:rPr>
        <w:t>’</w:t>
      </w:r>
      <w:r w:rsidRPr="00653C67">
        <w:rPr>
          <w:rFonts w:ascii="Times New Roman" w:hAnsi="Times New Roman" w:cs="Times New Roman"/>
          <w:i/>
          <w:iCs/>
          <w:color w:val="000000"/>
          <w:shd w:val="clear" w:color="auto" w:fill="FFFFFF"/>
          <w:lang w:val="fr-CA"/>
        </w:rPr>
        <w:t>Ontario</w:t>
      </w:r>
      <w:r w:rsidRPr="00653C67">
        <w:rPr>
          <w:rFonts w:ascii="Times New Roman" w:hAnsi="Times New Roman" w:cs="Times New Roman"/>
          <w:color w:val="000000"/>
          <w:shd w:val="clear" w:color="auto" w:fill="FFFFFF"/>
          <w:lang w:val="fr-CA"/>
        </w:rPr>
        <w:t>, et qu</w:t>
      </w:r>
      <w:r w:rsidR="00912EC7">
        <w:rPr>
          <w:rFonts w:ascii="Times New Roman" w:hAnsi="Times New Roman" w:cs="Times New Roman"/>
          <w:color w:val="000000"/>
          <w:shd w:val="clear" w:color="auto" w:fill="FFFFFF"/>
          <w:lang w:val="fr-CA"/>
        </w:rPr>
        <w:t>’</w:t>
      </w:r>
      <w:r w:rsidRPr="00653C67">
        <w:rPr>
          <w:rFonts w:ascii="Times New Roman" w:hAnsi="Times New Roman" w:cs="Times New Roman"/>
          <w:color w:val="000000"/>
          <w:shd w:val="clear" w:color="auto" w:fill="FFFFFF"/>
          <w:lang w:val="fr-CA"/>
        </w:rPr>
        <w:t>ils ne sont définis que provisoirement par la politique de la Commission des droits de la personne de l</w:t>
      </w:r>
      <w:r w:rsidR="00912EC7">
        <w:rPr>
          <w:rFonts w:ascii="Times New Roman" w:hAnsi="Times New Roman" w:cs="Times New Roman"/>
          <w:color w:val="000000"/>
          <w:shd w:val="clear" w:color="auto" w:fill="FFFFFF"/>
          <w:lang w:val="fr-CA"/>
        </w:rPr>
        <w:t>’</w:t>
      </w:r>
      <w:r w:rsidRPr="00653C67">
        <w:rPr>
          <w:rFonts w:ascii="Times New Roman" w:hAnsi="Times New Roman" w:cs="Times New Roman"/>
          <w:color w:val="000000"/>
          <w:shd w:val="clear" w:color="auto" w:fill="FFFFFF"/>
          <w:lang w:val="fr-CA"/>
        </w:rPr>
        <w:t>Ontario, nous soutenons que les conseils scolaires constituent des acteurs centraux dans la construction de la signification de ces termes au sein de la politique et dans la pratique. En décentralisant les cours et les tribunaux dans notre analyse, nous souhaitons jeter une lumière sur les pratiques d</w:t>
      </w:r>
      <w:r w:rsidR="00912EC7">
        <w:rPr>
          <w:rFonts w:ascii="Times New Roman" w:hAnsi="Times New Roman" w:cs="Times New Roman"/>
          <w:color w:val="000000"/>
          <w:shd w:val="clear" w:color="auto" w:fill="FFFFFF"/>
          <w:lang w:val="fr-CA"/>
        </w:rPr>
        <w:t>’</w:t>
      </w:r>
      <w:r w:rsidRPr="00653C67">
        <w:rPr>
          <w:rFonts w:ascii="Times New Roman" w:hAnsi="Times New Roman" w:cs="Times New Roman"/>
          <w:color w:val="000000"/>
          <w:shd w:val="clear" w:color="auto" w:fill="FFFFFF"/>
          <w:lang w:val="fr-CA"/>
        </w:rPr>
        <w:t>établissement de normes parallèles qui ont lieu quotidiennement dans le contexte de l</w:t>
      </w:r>
      <w:r w:rsidR="00912EC7">
        <w:rPr>
          <w:rFonts w:ascii="Times New Roman" w:hAnsi="Times New Roman" w:cs="Times New Roman"/>
          <w:color w:val="000000"/>
          <w:shd w:val="clear" w:color="auto" w:fill="FFFFFF"/>
          <w:lang w:val="fr-CA"/>
        </w:rPr>
        <w:t>’</w:t>
      </w:r>
      <w:r w:rsidRPr="00653C67">
        <w:rPr>
          <w:rFonts w:ascii="Times New Roman" w:hAnsi="Times New Roman" w:cs="Times New Roman"/>
          <w:color w:val="000000"/>
          <w:shd w:val="clear" w:color="auto" w:fill="FFFFFF"/>
          <w:lang w:val="fr-CA"/>
        </w:rPr>
        <w:t xml:space="preserve">éducation. Notre regard se porte sur ces pratiques </w:t>
      </w:r>
      <w:r w:rsidRPr="00653C67">
        <w:rPr>
          <w:rFonts w:ascii="Times New Roman" w:hAnsi="Times New Roman" w:cs="Times New Roman"/>
          <w:color w:val="000000"/>
          <w:shd w:val="clear" w:color="auto" w:fill="FFFFFF"/>
          <w:lang w:val="fr-CA"/>
        </w:rPr>
        <w:lastRenderedPageBreak/>
        <w:t>quotidiennes dans la mesure où elles façonnent l</w:t>
      </w:r>
      <w:r w:rsidR="00912EC7">
        <w:rPr>
          <w:rFonts w:ascii="Times New Roman" w:hAnsi="Times New Roman" w:cs="Times New Roman"/>
          <w:color w:val="000000"/>
          <w:shd w:val="clear" w:color="auto" w:fill="FFFFFF"/>
          <w:lang w:val="fr-CA"/>
        </w:rPr>
        <w:t>’</w:t>
      </w:r>
      <w:r w:rsidRPr="00653C67">
        <w:rPr>
          <w:rFonts w:ascii="Times New Roman" w:hAnsi="Times New Roman" w:cs="Times New Roman"/>
          <w:color w:val="000000"/>
          <w:shd w:val="clear" w:color="auto" w:fill="FFFFFF"/>
          <w:lang w:val="fr-CA"/>
        </w:rPr>
        <w:t>évolution de notre compréhension collective de la signification de «</w:t>
      </w:r>
      <w:r w:rsidR="00F45C86">
        <w:rPr>
          <w:rFonts w:ascii="Times New Roman" w:hAnsi="Times New Roman" w:cs="Times New Roman"/>
          <w:color w:val="000000"/>
          <w:shd w:val="clear" w:color="auto" w:fill="FFFFFF"/>
          <w:lang w:val="fr-CA"/>
        </w:rPr>
        <w:t> </w:t>
      </w:r>
      <w:r w:rsidRPr="00653C67">
        <w:rPr>
          <w:rFonts w:ascii="Times New Roman" w:hAnsi="Times New Roman" w:cs="Times New Roman"/>
          <w:color w:val="000000"/>
          <w:shd w:val="clear" w:color="auto" w:fill="FFFFFF"/>
          <w:lang w:val="fr-CA"/>
        </w:rPr>
        <w:t>l</w:t>
      </w:r>
      <w:r w:rsidR="00912EC7">
        <w:rPr>
          <w:rFonts w:ascii="Times New Roman" w:hAnsi="Times New Roman" w:cs="Times New Roman"/>
          <w:color w:val="000000"/>
          <w:shd w:val="clear" w:color="auto" w:fill="FFFFFF"/>
          <w:lang w:val="fr-CA"/>
        </w:rPr>
        <w:t>’</w:t>
      </w:r>
      <w:r w:rsidRPr="00653C67">
        <w:rPr>
          <w:rFonts w:ascii="Times New Roman" w:hAnsi="Times New Roman" w:cs="Times New Roman"/>
          <w:color w:val="000000"/>
          <w:shd w:val="clear" w:color="auto" w:fill="FFFFFF"/>
          <w:lang w:val="fr-CA"/>
        </w:rPr>
        <w:t xml:space="preserve">identité </w:t>
      </w:r>
      <w:r w:rsidR="00E7496C">
        <w:rPr>
          <w:rFonts w:ascii="Times New Roman" w:hAnsi="Times New Roman" w:cs="Times New Roman"/>
          <w:color w:val="000000"/>
          <w:shd w:val="clear" w:color="auto" w:fill="FFFFFF"/>
          <w:lang w:val="fr-CA"/>
        </w:rPr>
        <w:t>sexuelle</w:t>
      </w:r>
      <w:r w:rsidR="00F45C86">
        <w:rPr>
          <w:rFonts w:ascii="Times New Roman" w:hAnsi="Times New Roman" w:cs="Times New Roman"/>
          <w:color w:val="000000"/>
          <w:shd w:val="clear" w:color="auto" w:fill="FFFFFF"/>
          <w:lang w:val="fr-CA"/>
        </w:rPr>
        <w:t> </w:t>
      </w:r>
      <w:r w:rsidRPr="00653C67">
        <w:rPr>
          <w:rFonts w:ascii="Times New Roman" w:hAnsi="Times New Roman" w:cs="Times New Roman"/>
          <w:color w:val="000000"/>
          <w:shd w:val="clear" w:color="auto" w:fill="FFFFFF"/>
          <w:lang w:val="fr-CA"/>
        </w:rPr>
        <w:t>» et de «</w:t>
      </w:r>
      <w:r w:rsidR="00F45C86">
        <w:rPr>
          <w:rFonts w:ascii="Times New Roman" w:hAnsi="Times New Roman" w:cs="Times New Roman"/>
          <w:color w:val="000000"/>
          <w:shd w:val="clear" w:color="auto" w:fill="FFFFFF"/>
          <w:lang w:val="fr-CA"/>
        </w:rPr>
        <w:t> </w:t>
      </w:r>
      <w:r w:rsidRPr="00653C67">
        <w:rPr>
          <w:rFonts w:ascii="Times New Roman" w:hAnsi="Times New Roman" w:cs="Times New Roman"/>
          <w:color w:val="000000"/>
          <w:shd w:val="clear" w:color="auto" w:fill="FFFFFF"/>
          <w:lang w:val="fr-CA"/>
        </w:rPr>
        <w:t>l</w:t>
      </w:r>
      <w:r w:rsidR="00912EC7">
        <w:rPr>
          <w:rFonts w:ascii="Times New Roman" w:hAnsi="Times New Roman" w:cs="Times New Roman"/>
          <w:color w:val="000000"/>
          <w:shd w:val="clear" w:color="auto" w:fill="FFFFFF"/>
          <w:lang w:val="fr-CA"/>
        </w:rPr>
        <w:t>’</w:t>
      </w:r>
      <w:r w:rsidRPr="00653C67">
        <w:rPr>
          <w:rFonts w:ascii="Times New Roman" w:hAnsi="Times New Roman" w:cs="Times New Roman"/>
          <w:color w:val="000000"/>
          <w:shd w:val="clear" w:color="auto" w:fill="FFFFFF"/>
          <w:lang w:val="fr-CA"/>
        </w:rPr>
        <w:t xml:space="preserve">expression de </w:t>
      </w:r>
      <w:r w:rsidR="00E7496C" w:rsidRPr="00653C67">
        <w:rPr>
          <w:rFonts w:ascii="Times New Roman" w:hAnsi="Times New Roman" w:cs="Times New Roman"/>
          <w:color w:val="000000"/>
          <w:shd w:val="clear" w:color="auto" w:fill="FFFFFF"/>
          <w:lang w:val="fr-CA"/>
        </w:rPr>
        <w:t>l</w:t>
      </w:r>
      <w:r w:rsidR="00E7496C">
        <w:rPr>
          <w:rFonts w:ascii="Times New Roman" w:hAnsi="Times New Roman" w:cs="Times New Roman"/>
          <w:color w:val="000000"/>
          <w:shd w:val="clear" w:color="auto" w:fill="FFFFFF"/>
          <w:lang w:val="fr-CA"/>
        </w:rPr>
        <w:t>’</w:t>
      </w:r>
      <w:r w:rsidR="00E7496C" w:rsidRPr="00653C67">
        <w:rPr>
          <w:rFonts w:ascii="Times New Roman" w:hAnsi="Times New Roman" w:cs="Times New Roman"/>
          <w:color w:val="000000"/>
          <w:shd w:val="clear" w:color="auto" w:fill="FFFFFF"/>
          <w:lang w:val="fr-CA"/>
        </w:rPr>
        <w:t xml:space="preserve">identité </w:t>
      </w:r>
      <w:r w:rsidR="00E7496C">
        <w:rPr>
          <w:rFonts w:ascii="Times New Roman" w:hAnsi="Times New Roman" w:cs="Times New Roman"/>
          <w:color w:val="000000"/>
          <w:shd w:val="clear" w:color="auto" w:fill="FFFFFF"/>
          <w:lang w:val="fr-CA"/>
        </w:rPr>
        <w:t xml:space="preserve">sexuelle </w:t>
      </w:r>
      <w:r w:rsidRPr="00653C67">
        <w:rPr>
          <w:rFonts w:ascii="Times New Roman" w:hAnsi="Times New Roman" w:cs="Times New Roman"/>
          <w:color w:val="000000"/>
          <w:shd w:val="clear" w:color="auto" w:fill="FFFFFF"/>
          <w:lang w:val="fr-CA"/>
        </w:rPr>
        <w:t>». En suivant attentivement ces développements post-législatifs, qui se retrouvent rarement dans les décisions rapportées, nous suggérons que la réforme des lois sur les droits de la personne pourrait ouvrir la voie à l</w:t>
      </w:r>
      <w:r w:rsidR="00912EC7">
        <w:rPr>
          <w:rFonts w:ascii="Times New Roman" w:hAnsi="Times New Roman" w:cs="Times New Roman"/>
          <w:color w:val="000000"/>
          <w:shd w:val="clear" w:color="auto" w:fill="FFFFFF"/>
          <w:lang w:val="fr-CA"/>
        </w:rPr>
        <w:t>’</w:t>
      </w:r>
      <w:r w:rsidRPr="00653C67">
        <w:rPr>
          <w:rFonts w:ascii="Times New Roman" w:hAnsi="Times New Roman" w:cs="Times New Roman"/>
          <w:color w:val="000000"/>
          <w:shd w:val="clear" w:color="auto" w:fill="FFFFFF"/>
          <w:lang w:val="fr-CA"/>
        </w:rPr>
        <w:t>émergence de normes qui permettraient aux gens d</w:t>
      </w:r>
      <w:r w:rsidR="00912EC7">
        <w:rPr>
          <w:rFonts w:ascii="Times New Roman" w:hAnsi="Times New Roman" w:cs="Times New Roman"/>
          <w:color w:val="000000"/>
          <w:shd w:val="clear" w:color="auto" w:fill="FFFFFF"/>
          <w:lang w:val="fr-CA"/>
        </w:rPr>
        <w:t>’</w:t>
      </w:r>
      <w:r w:rsidRPr="00653C67">
        <w:rPr>
          <w:rFonts w:ascii="Times New Roman" w:hAnsi="Times New Roman" w:cs="Times New Roman"/>
          <w:color w:val="000000"/>
          <w:shd w:val="clear" w:color="auto" w:fill="FFFFFF"/>
          <w:lang w:val="fr-CA"/>
        </w:rPr>
        <w:t>exprimer leurs genres de diverses manières.</w:t>
      </w:r>
    </w:p>
    <w:p w14:paraId="67447CE6" w14:textId="02EC0E25" w:rsidR="000C1567" w:rsidRPr="00653C67" w:rsidRDefault="000C1567" w:rsidP="004D0F4E">
      <w:pPr>
        <w:spacing w:after="240" w:line="480" w:lineRule="auto"/>
        <w:rPr>
          <w:rFonts w:ascii="Times New Roman" w:hAnsi="Times New Roman" w:cs="Times New Roman"/>
          <w:color w:val="000000"/>
          <w:shd w:val="clear" w:color="auto" w:fill="FFFFFF"/>
          <w:lang w:val="fr-CA"/>
        </w:rPr>
      </w:pPr>
      <w:r w:rsidRPr="00653C67">
        <w:rPr>
          <w:rFonts w:ascii="Times New Roman" w:hAnsi="Times New Roman" w:cs="Times New Roman"/>
          <w:b/>
          <w:bCs/>
          <w:color w:val="000000"/>
          <w:shd w:val="clear" w:color="auto" w:fill="FFFFFF"/>
          <w:lang w:val="fr-CA"/>
        </w:rPr>
        <w:t>Mots clés</w:t>
      </w:r>
      <w:r w:rsidR="00EB5167" w:rsidRPr="00653C67">
        <w:rPr>
          <w:rFonts w:ascii="Times New Roman" w:hAnsi="Times New Roman" w:cs="Times New Roman"/>
          <w:b/>
          <w:bCs/>
          <w:color w:val="000000"/>
          <w:shd w:val="clear" w:color="auto" w:fill="FFFFFF"/>
          <w:lang w:val="fr-CA"/>
        </w:rPr>
        <w:t> </w:t>
      </w:r>
      <w:r w:rsidRPr="00653C67">
        <w:rPr>
          <w:rFonts w:ascii="Times New Roman" w:hAnsi="Times New Roman" w:cs="Times New Roman"/>
          <w:b/>
          <w:color w:val="000000"/>
          <w:shd w:val="clear" w:color="auto" w:fill="FFFFFF"/>
          <w:lang w:val="fr-CA"/>
        </w:rPr>
        <w:t>:</w:t>
      </w:r>
      <w:r w:rsidRPr="00653C67">
        <w:rPr>
          <w:rFonts w:ascii="Times New Roman" w:hAnsi="Times New Roman" w:cs="Times New Roman"/>
          <w:color w:val="000000"/>
          <w:shd w:val="clear" w:color="auto" w:fill="FFFFFF"/>
          <w:lang w:val="fr-CA"/>
        </w:rPr>
        <w:t xml:space="preserve"> Droits de la personne; éducation; études juridiques </w:t>
      </w:r>
      <w:proofErr w:type="spellStart"/>
      <w:r w:rsidRPr="00653C67">
        <w:rPr>
          <w:rFonts w:ascii="Times New Roman" w:hAnsi="Times New Roman" w:cs="Times New Roman"/>
          <w:color w:val="000000"/>
          <w:shd w:val="clear" w:color="auto" w:fill="FFFFFF"/>
          <w:lang w:val="fr-CA"/>
        </w:rPr>
        <w:t>trans</w:t>
      </w:r>
      <w:proofErr w:type="spellEnd"/>
      <w:r w:rsidR="00E7496C">
        <w:rPr>
          <w:rFonts w:ascii="Times New Roman" w:hAnsi="Times New Roman" w:cs="Times New Roman"/>
          <w:color w:val="000000"/>
          <w:shd w:val="clear" w:color="auto" w:fill="FFFFFF"/>
          <w:lang w:val="fr-CA"/>
        </w:rPr>
        <w:t>.</w:t>
      </w:r>
    </w:p>
    <w:p w14:paraId="33C7CDD2" w14:textId="6157BAEF" w:rsidR="00193742" w:rsidRPr="00CC5771" w:rsidRDefault="00193742" w:rsidP="004D0F4E">
      <w:pPr>
        <w:spacing w:after="240" w:line="480" w:lineRule="auto"/>
        <w:rPr>
          <w:rFonts w:ascii="Times New Roman" w:hAnsi="Times New Roman" w:cs="Times New Roman"/>
          <w:lang w:val="en-CA"/>
        </w:rPr>
      </w:pPr>
    </w:p>
    <w:p w14:paraId="2E86995E" w14:textId="7C952391" w:rsidR="00193742" w:rsidRPr="00CC5771" w:rsidRDefault="00193742" w:rsidP="004D0F4E">
      <w:pPr>
        <w:pageBreakBefore/>
        <w:spacing w:after="240" w:line="480" w:lineRule="auto"/>
        <w:rPr>
          <w:rFonts w:ascii="Times New Roman" w:hAnsi="Times New Roman" w:cs="Times New Roman"/>
          <w:b/>
          <w:lang w:val="en-CA"/>
        </w:rPr>
      </w:pPr>
      <w:r w:rsidRPr="00CC5771">
        <w:rPr>
          <w:rFonts w:ascii="Times New Roman" w:hAnsi="Times New Roman" w:cs="Times New Roman"/>
          <w:b/>
          <w:lang w:val="en-CA"/>
        </w:rPr>
        <w:lastRenderedPageBreak/>
        <w:t>INTRODUCTION</w:t>
      </w:r>
    </w:p>
    <w:p w14:paraId="411D1F50" w14:textId="5A7638C5" w:rsidR="00981FE2" w:rsidRPr="00CC5771" w:rsidRDefault="004A30FF"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Between 2002 and 2017, Canadian lawmakers sought to redress the pervasive levels of discrimination, harassment, and violence experienced by transgender and/or non-binary people by adding the terms “gender identity” and/or “gender expression” to federal, provincial, and territorial human rights instruments.</w:t>
      </w:r>
      <w:r w:rsidRPr="00CC5771">
        <w:rPr>
          <w:rStyle w:val="FootnoteReference"/>
          <w:rFonts w:ascii="Times New Roman" w:hAnsi="Times New Roman" w:cs="Times New Roman"/>
          <w:lang w:val="en-CA"/>
        </w:rPr>
        <w:footnoteReference w:id="2"/>
      </w:r>
      <w:r w:rsidRPr="00CC5771">
        <w:rPr>
          <w:rFonts w:ascii="Times New Roman" w:hAnsi="Times New Roman" w:cs="Times New Roman"/>
          <w:lang w:val="en-CA"/>
        </w:rPr>
        <w:t xml:space="preserve"> This paper tracks the complex, iterative ways in which anti-discrimination protections are brought to life outside courts and tribunals.</w:t>
      </w:r>
      <w:r w:rsidR="00EC040C" w:rsidRPr="00CC5771">
        <w:rPr>
          <w:rFonts w:ascii="Times New Roman" w:hAnsi="Times New Roman" w:cs="Times New Roman"/>
          <w:lang w:val="en-CA"/>
        </w:rPr>
        <w:t xml:space="preserve"> As Michael Lipsky </w:t>
      </w:r>
      <w:r w:rsidR="00C5740E" w:rsidRPr="00CC5771">
        <w:rPr>
          <w:rFonts w:ascii="Times New Roman" w:hAnsi="Times New Roman" w:cs="Times New Roman"/>
          <w:lang w:val="en-CA"/>
        </w:rPr>
        <w:t>reminds us</w:t>
      </w:r>
      <w:r w:rsidR="00872421" w:rsidRPr="00CC5771">
        <w:rPr>
          <w:rFonts w:ascii="Times New Roman" w:hAnsi="Times New Roman" w:cs="Times New Roman"/>
          <w:lang w:val="en-CA"/>
        </w:rPr>
        <w:t>, policy is</w:t>
      </w:r>
      <w:r w:rsidR="00EC040C" w:rsidRPr="00CC5771">
        <w:rPr>
          <w:rFonts w:ascii="Times New Roman" w:hAnsi="Times New Roman" w:cs="Times New Roman"/>
          <w:lang w:val="en-CA"/>
        </w:rPr>
        <w:t xml:space="preserve"> </w:t>
      </w:r>
      <w:r w:rsidR="00872421" w:rsidRPr="00CC5771">
        <w:rPr>
          <w:rFonts w:ascii="Times New Roman" w:hAnsi="Times New Roman" w:cs="Times New Roman"/>
          <w:lang w:val="en-CA"/>
        </w:rPr>
        <w:t>“</w:t>
      </w:r>
      <w:r w:rsidR="00EC040C" w:rsidRPr="00CC5771">
        <w:rPr>
          <w:rFonts w:ascii="Times New Roman" w:hAnsi="Times New Roman" w:cs="Times New Roman"/>
          <w:lang w:val="en-CA"/>
        </w:rPr>
        <w:t>not best understood as made in legislatures or top-floor suites of high-ranking administrators, because in important ways it is actually made in the crowded offices and daily encounters of street-level workers.”</w:t>
      </w:r>
      <w:r w:rsidR="00EC040C" w:rsidRPr="00CC5771">
        <w:rPr>
          <w:rStyle w:val="FootnoteReference"/>
          <w:rFonts w:ascii="Times New Roman" w:hAnsi="Times New Roman" w:cs="Times New Roman"/>
          <w:lang w:val="en-CA"/>
        </w:rPr>
        <w:footnoteReference w:id="3"/>
      </w:r>
      <w:r w:rsidRPr="00CC5771">
        <w:rPr>
          <w:rFonts w:ascii="Times New Roman" w:hAnsi="Times New Roman" w:cs="Times New Roman"/>
          <w:lang w:val="en-CA"/>
        </w:rPr>
        <w:t xml:space="preserve"> Using Ontario</w:t>
      </w:r>
      <w:r w:rsidR="00912EC7">
        <w:rPr>
          <w:rFonts w:ascii="Times New Roman" w:hAnsi="Times New Roman" w:cs="Times New Roman"/>
          <w:lang w:val="en-CA"/>
        </w:rPr>
        <w:t>’</w:t>
      </w:r>
      <w:r w:rsidRPr="00CC5771">
        <w:rPr>
          <w:rFonts w:ascii="Times New Roman" w:hAnsi="Times New Roman" w:cs="Times New Roman"/>
          <w:lang w:val="en-CA"/>
        </w:rPr>
        <w:t>s publicly-funded English language secular school boards as a case study, we examine how the introduction of explicit human rights protections on the basis of “gender identity” and “gender expression” in 2012</w:t>
      </w:r>
      <w:r w:rsidR="00981FE2" w:rsidRPr="00CC5771">
        <w:rPr>
          <w:rStyle w:val="FootnoteReference"/>
          <w:rFonts w:ascii="Times New Roman" w:hAnsi="Times New Roman" w:cs="Times New Roman"/>
          <w:lang w:val="en-CA"/>
        </w:rPr>
        <w:footnoteReference w:id="4"/>
      </w:r>
      <w:r w:rsidRPr="00CC5771">
        <w:rPr>
          <w:rFonts w:ascii="Times New Roman" w:hAnsi="Times New Roman" w:cs="Times New Roman"/>
          <w:lang w:val="en-CA"/>
        </w:rPr>
        <w:t xml:space="preserve"> worked to produce a series of responses </w:t>
      </w:r>
      <w:r w:rsidR="00EC040C" w:rsidRPr="00CC5771">
        <w:rPr>
          <w:rFonts w:ascii="Times New Roman" w:hAnsi="Times New Roman" w:cs="Times New Roman"/>
          <w:lang w:val="en-CA"/>
        </w:rPr>
        <w:t>across the</w:t>
      </w:r>
      <w:r w:rsidRPr="00CC5771">
        <w:rPr>
          <w:rFonts w:ascii="Times New Roman" w:hAnsi="Times New Roman" w:cs="Times New Roman"/>
          <w:lang w:val="en-CA"/>
        </w:rPr>
        <w:t xml:space="preserve"> education sector.</w:t>
      </w:r>
      <w:r w:rsidR="000554CD" w:rsidRPr="00CC5771">
        <w:rPr>
          <w:rStyle w:val="FootnoteReference"/>
          <w:rFonts w:ascii="Times New Roman" w:hAnsi="Times New Roman" w:cs="Times New Roman"/>
          <w:lang w:val="en-CA"/>
        </w:rPr>
        <w:footnoteReference w:id="5"/>
      </w:r>
    </w:p>
    <w:p w14:paraId="529EA502" w14:textId="29C8B0CE" w:rsidR="00116C2D" w:rsidRPr="00CC5771" w:rsidRDefault="004A30FF"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lastRenderedPageBreak/>
        <w:t xml:space="preserve">Given that “gender identity” and “gender expression” remain legally undefined terms in the Ontario </w:t>
      </w:r>
      <w:r w:rsidRPr="00CC5771">
        <w:rPr>
          <w:rFonts w:ascii="Times New Roman" w:hAnsi="Times New Roman" w:cs="Times New Roman"/>
          <w:i/>
          <w:lang w:val="en-CA"/>
        </w:rPr>
        <w:t>Human Rights Code</w:t>
      </w:r>
      <w:r w:rsidRPr="00CC5771">
        <w:rPr>
          <w:rFonts w:ascii="Times New Roman" w:hAnsi="Times New Roman" w:cs="Times New Roman"/>
          <w:lang w:val="en-CA"/>
        </w:rPr>
        <w:t>,</w:t>
      </w:r>
      <w:r w:rsidRPr="00CC5771">
        <w:rPr>
          <w:rStyle w:val="FootnoteReference"/>
          <w:rFonts w:ascii="Times New Roman" w:hAnsi="Times New Roman" w:cs="Times New Roman"/>
          <w:lang w:val="en-CA"/>
        </w:rPr>
        <w:footnoteReference w:id="6"/>
      </w:r>
      <w:r w:rsidRPr="00CC5771">
        <w:rPr>
          <w:rFonts w:ascii="Times New Roman" w:hAnsi="Times New Roman" w:cs="Times New Roman"/>
          <w:lang w:val="en-CA"/>
        </w:rPr>
        <w:t xml:space="preserve"> and only provisionally defined by Ontario Human Rights Commission policy,</w:t>
      </w:r>
      <w:r w:rsidRPr="00CC5771">
        <w:rPr>
          <w:rStyle w:val="FootnoteReference"/>
          <w:rFonts w:ascii="Times New Roman" w:hAnsi="Times New Roman" w:cs="Times New Roman"/>
          <w:lang w:val="en-CA"/>
        </w:rPr>
        <w:footnoteReference w:id="7"/>
      </w:r>
      <w:r w:rsidRPr="00CC5771">
        <w:rPr>
          <w:rFonts w:ascii="Times New Roman" w:hAnsi="Times New Roman" w:cs="Times New Roman"/>
          <w:lang w:val="en-CA"/>
        </w:rPr>
        <w:t xml:space="preserve"> we argue that school boards </w:t>
      </w:r>
      <w:r w:rsidR="00981FE2" w:rsidRPr="00CC5771">
        <w:rPr>
          <w:rFonts w:ascii="Times New Roman" w:hAnsi="Times New Roman" w:cs="Times New Roman"/>
          <w:lang w:val="en-CA"/>
        </w:rPr>
        <w:t>constitute</w:t>
      </w:r>
      <w:r w:rsidRPr="00CC5771">
        <w:rPr>
          <w:rFonts w:ascii="Times New Roman" w:hAnsi="Times New Roman" w:cs="Times New Roman"/>
          <w:lang w:val="en-CA"/>
        </w:rPr>
        <w:t xml:space="preserve"> important actors engaged in constructing the meanings of these terms in policy and practice. In decentering courts and tribunals in our analysis, we aim to uncover the everyday practices of parallel norm-making taking place in the education context. We also endeavour to build on the growing body of trans legal studies scholarship, which has tended to study </w:t>
      </w:r>
      <w:r w:rsidR="00981FE2" w:rsidRPr="00CC5771">
        <w:rPr>
          <w:rFonts w:ascii="Times New Roman" w:hAnsi="Times New Roman" w:cs="Times New Roman"/>
          <w:lang w:val="en-CA"/>
        </w:rPr>
        <w:t xml:space="preserve">reported </w:t>
      </w:r>
      <w:r w:rsidRPr="00CC5771">
        <w:rPr>
          <w:rFonts w:ascii="Times New Roman" w:hAnsi="Times New Roman" w:cs="Times New Roman"/>
          <w:lang w:val="en-CA"/>
        </w:rPr>
        <w:t xml:space="preserve">court and tribunal decisions when assessing the efficacy of legislative reforms. </w:t>
      </w:r>
      <w:r w:rsidR="001A6958" w:rsidRPr="00CC5771">
        <w:rPr>
          <w:rFonts w:ascii="Times New Roman" w:hAnsi="Times New Roman" w:cs="Times New Roman"/>
          <w:lang w:val="en-CA"/>
        </w:rPr>
        <w:t>These everyday</w:t>
      </w:r>
      <w:r w:rsidRPr="00CC5771">
        <w:rPr>
          <w:rFonts w:ascii="Times New Roman" w:hAnsi="Times New Roman" w:cs="Times New Roman"/>
          <w:lang w:val="en-CA"/>
        </w:rPr>
        <w:t xml:space="preserve"> practices </w:t>
      </w:r>
      <w:r w:rsidR="00981FE2" w:rsidRPr="00CC5771">
        <w:rPr>
          <w:rFonts w:ascii="Times New Roman" w:hAnsi="Times New Roman" w:cs="Times New Roman"/>
          <w:lang w:val="en-CA"/>
        </w:rPr>
        <w:t xml:space="preserve">in schools </w:t>
      </w:r>
      <w:r w:rsidRPr="00CC5771">
        <w:rPr>
          <w:rFonts w:ascii="Times New Roman" w:hAnsi="Times New Roman" w:cs="Times New Roman"/>
          <w:lang w:val="en-CA"/>
        </w:rPr>
        <w:t>shape how we collectively understand the meaning of “gender identity” and “gender expression</w:t>
      </w:r>
      <w:r w:rsidR="009C3F79">
        <w:rPr>
          <w:rFonts w:ascii="Times New Roman" w:hAnsi="Times New Roman" w:cs="Times New Roman"/>
          <w:lang w:val="en-CA"/>
        </w:rPr>
        <w:t>.”</w:t>
      </w:r>
      <w:r w:rsidRPr="00CC5771">
        <w:rPr>
          <w:rFonts w:ascii="Times New Roman" w:hAnsi="Times New Roman" w:cs="Times New Roman"/>
          <w:lang w:val="en-CA"/>
        </w:rPr>
        <w:t xml:space="preserve"> By carefully tracking these post-legislative developments, which rarely make their way into reported decisions, </w:t>
      </w:r>
      <w:r w:rsidR="00116C2D" w:rsidRPr="00CC5771">
        <w:rPr>
          <w:rFonts w:ascii="Times New Roman" w:hAnsi="Times New Roman" w:cs="Times New Roman"/>
          <w:lang w:val="en-CA"/>
        </w:rPr>
        <w:t>we suggest that human rights law reforms might open up space for the emergence of norms that allow people to do gender in a variety of ways</w:t>
      </w:r>
      <w:r w:rsidR="001C262F" w:rsidRPr="00CC5771">
        <w:rPr>
          <w:rFonts w:ascii="Times New Roman" w:hAnsi="Times New Roman" w:cs="Times New Roman"/>
          <w:lang w:val="en-CA"/>
        </w:rPr>
        <w:t>.</w:t>
      </w:r>
      <w:r w:rsidR="00116C2D" w:rsidRPr="00CC5771">
        <w:rPr>
          <w:rFonts w:ascii="Times New Roman" w:hAnsi="Times New Roman" w:cs="Times New Roman"/>
          <w:lang w:val="en-CA"/>
        </w:rPr>
        <w:t xml:space="preserve"> </w:t>
      </w:r>
    </w:p>
    <w:p w14:paraId="0F640309" w14:textId="21619928" w:rsidR="00162B72" w:rsidRPr="00CC5771" w:rsidRDefault="0099173F"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The paper proceeds in four parts. Part I surveys the burgeoning</w:t>
      </w:r>
      <w:r w:rsidR="007413CF" w:rsidRPr="00CC5771">
        <w:rPr>
          <w:rFonts w:ascii="Times New Roman" w:hAnsi="Times New Roman" w:cs="Times New Roman"/>
          <w:lang w:val="en-CA"/>
        </w:rPr>
        <w:t xml:space="preserve"> body of</w:t>
      </w:r>
      <w:r w:rsidR="00A829C4" w:rsidRPr="00CC5771">
        <w:rPr>
          <w:rFonts w:ascii="Times New Roman" w:hAnsi="Times New Roman" w:cs="Times New Roman"/>
          <w:lang w:val="en-CA"/>
        </w:rPr>
        <w:t xml:space="preserve"> </w:t>
      </w:r>
      <w:r w:rsidR="007413CF" w:rsidRPr="00CC5771">
        <w:rPr>
          <w:rFonts w:ascii="Times New Roman" w:hAnsi="Times New Roman" w:cs="Times New Roman"/>
          <w:lang w:val="en-CA"/>
        </w:rPr>
        <w:t>trans legal</w:t>
      </w:r>
      <w:r w:rsidR="00A829C4" w:rsidRPr="00CC5771">
        <w:rPr>
          <w:rFonts w:ascii="Times New Roman" w:hAnsi="Times New Roman" w:cs="Times New Roman"/>
          <w:lang w:val="en-CA"/>
        </w:rPr>
        <w:t xml:space="preserve"> studies </w:t>
      </w:r>
      <w:r w:rsidR="007413CF" w:rsidRPr="00CC5771">
        <w:rPr>
          <w:rFonts w:ascii="Times New Roman" w:hAnsi="Times New Roman" w:cs="Times New Roman"/>
          <w:lang w:val="en-CA"/>
        </w:rPr>
        <w:t>scholarship</w:t>
      </w:r>
      <w:r w:rsidRPr="00CC5771">
        <w:rPr>
          <w:rFonts w:ascii="Times New Roman" w:hAnsi="Times New Roman" w:cs="Times New Roman"/>
          <w:lang w:val="en-CA"/>
        </w:rPr>
        <w:t xml:space="preserve">, examining </w:t>
      </w:r>
      <w:r w:rsidR="00A63A3C" w:rsidRPr="00CC5771">
        <w:rPr>
          <w:rFonts w:ascii="Times New Roman" w:hAnsi="Times New Roman" w:cs="Times New Roman"/>
          <w:lang w:val="en-CA"/>
        </w:rPr>
        <w:t xml:space="preserve">the introduction of </w:t>
      </w:r>
      <w:r w:rsidRPr="00CC5771">
        <w:rPr>
          <w:rFonts w:ascii="Times New Roman" w:hAnsi="Times New Roman" w:cs="Times New Roman"/>
          <w:lang w:val="en-CA"/>
        </w:rPr>
        <w:t xml:space="preserve">formal human rights protections on the basis of “gender identity” and “gender expression” </w:t>
      </w:r>
      <w:r w:rsidR="00A829C4" w:rsidRPr="00CC5771">
        <w:rPr>
          <w:rFonts w:ascii="Times New Roman" w:hAnsi="Times New Roman" w:cs="Times New Roman"/>
          <w:lang w:val="en-CA"/>
        </w:rPr>
        <w:t>as</w:t>
      </w:r>
      <w:r w:rsidRPr="00CC5771">
        <w:rPr>
          <w:rFonts w:ascii="Times New Roman" w:hAnsi="Times New Roman" w:cs="Times New Roman"/>
          <w:lang w:val="en-CA"/>
        </w:rPr>
        <w:t xml:space="preserve"> site</w:t>
      </w:r>
      <w:r w:rsidR="00A829C4" w:rsidRPr="00CC5771">
        <w:rPr>
          <w:rFonts w:ascii="Times New Roman" w:hAnsi="Times New Roman" w:cs="Times New Roman"/>
          <w:lang w:val="en-CA"/>
        </w:rPr>
        <w:t>s</w:t>
      </w:r>
      <w:r w:rsidRPr="00CC5771">
        <w:rPr>
          <w:rFonts w:ascii="Times New Roman" w:hAnsi="Times New Roman" w:cs="Times New Roman"/>
          <w:lang w:val="en-CA"/>
        </w:rPr>
        <w:t xml:space="preserve"> of</w:t>
      </w:r>
      <w:r w:rsidR="00A829C4" w:rsidRPr="00CC5771">
        <w:rPr>
          <w:rFonts w:ascii="Times New Roman" w:hAnsi="Times New Roman" w:cs="Times New Roman"/>
          <w:lang w:val="en-CA"/>
        </w:rPr>
        <w:t xml:space="preserve"> </w:t>
      </w:r>
      <w:r w:rsidR="007F6F2F" w:rsidRPr="00CC5771">
        <w:rPr>
          <w:rFonts w:ascii="Times New Roman" w:hAnsi="Times New Roman" w:cs="Times New Roman"/>
          <w:lang w:val="en-CA"/>
        </w:rPr>
        <w:t>optimism and criticism</w:t>
      </w:r>
      <w:r w:rsidRPr="00CC5771">
        <w:rPr>
          <w:rFonts w:ascii="Times New Roman" w:hAnsi="Times New Roman" w:cs="Times New Roman"/>
          <w:lang w:val="en-CA"/>
        </w:rPr>
        <w:t xml:space="preserve">. Part II tracks the </w:t>
      </w:r>
      <w:r w:rsidR="00084A2F" w:rsidRPr="00CC5771">
        <w:rPr>
          <w:rFonts w:ascii="Times New Roman" w:hAnsi="Times New Roman" w:cs="Times New Roman"/>
          <w:lang w:val="en-CA"/>
        </w:rPr>
        <w:t>making</w:t>
      </w:r>
      <w:r w:rsidRPr="00CC5771">
        <w:rPr>
          <w:rFonts w:ascii="Times New Roman" w:hAnsi="Times New Roman" w:cs="Times New Roman"/>
          <w:lang w:val="en-CA"/>
        </w:rPr>
        <w:t xml:space="preserve"> of</w:t>
      </w:r>
      <w:r w:rsidR="00FB15C7" w:rsidRPr="00CC5771">
        <w:rPr>
          <w:rFonts w:ascii="Times New Roman" w:hAnsi="Times New Roman" w:cs="Times New Roman"/>
          <w:lang w:val="en-CA"/>
        </w:rPr>
        <w:t xml:space="preserve"> “gender identity” and</w:t>
      </w:r>
      <w:r w:rsidRPr="00CC5771">
        <w:rPr>
          <w:rFonts w:ascii="Times New Roman" w:hAnsi="Times New Roman" w:cs="Times New Roman"/>
          <w:lang w:val="en-CA"/>
        </w:rPr>
        <w:t xml:space="preserve"> “gender expression” in </w:t>
      </w:r>
      <w:r w:rsidR="00981FE2" w:rsidRPr="00CC5771">
        <w:rPr>
          <w:rFonts w:ascii="Times New Roman" w:hAnsi="Times New Roman" w:cs="Times New Roman"/>
          <w:lang w:val="en-CA"/>
        </w:rPr>
        <w:t>human rights commissions, tribunal decisions, and legislative debates</w:t>
      </w:r>
      <w:r w:rsidR="00A829C4" w:rsidRPr="00CC5771">
        <w:rPr>
          <w:rFonts w:ascii="Times New Roman" w:hAnsi="Times New Roman" w:cs="Times New Roman"/>
          <w:lang w:val="en-CA"/>
        </w:rPr>
        <w:t xml:space="preserve">. Part III uses </w:t>
      </w:r>
      <w:r w:rsidR="006566C4" w:rsidRPr="00CC5771">
        <w:rPr>
          <w:rFonts w:ascii="Times New Roman" w:hAnsi="Times New Roman" w:cs="Times New Roman"/>
          <w:lang w:val="en-CA"/>
        </w:rPr>
        <w:t>Ontario</w:t>
      </w:r>
      <w:r w:rsidR="00912EC7">
        <w:rPr>
          <w:rFonts w:ascii="Times New Roman" w:hAnsi="Times New Roman" w:cs="Times New Roman"/>
          <w:lang w:val="en-CA"/>
        </w:rPr>
        <w:t>’</w:t>
      </w:r>
      <w:r w:rsidR="006566C4" w:rsidRPr="00CC5771">
        <w:rPr>
          <w:rFonts w:ascii="Times New Roman" w:hAnsi="Times New Roman" w:cs="Times New Roman"/>
          <w:lang w:val="en-CA"/>
        </w:rPr>
        <w:t xml:space="preserve">s </w:t>
      </w:r>
      <w:r w:rsidR="00921CB1" w:rsidRPr="00CC5771">
        <w:rPr>
          <w:rFonts w:ascii="Times New Roman" w:hAnsi="Times New Roman" w:cs="Times New Roman"/>
          <w:lang w:val="en-CA"/>
        </w:rPr>
        <w:t xml:space="preserve">publicly-funded secular English-language </w:t>
      </w:r>
      <w:r w:rsidR="006566C4" w:rsidRPr="00CC5771">
        <w:rPr>
          <w:rFonts w:ascii="Times New Roman" w:hAnsi="Times New Roman" w:cs="Times New Roman"/>
          <w:lang w:val="en-CA"/>
        </w:rPr>
        <w:t>school boards</w:t>
      </w:r>
      <w:r w:rsidR="00A829C4" w:rsidRPr="00CC5771">
        <w:rPr>
          <w:rFonts w:ascii="Times New Roman" w:hAnsi="Times New Roman" w:cs="Times New Roman"/>
          <w:lang w:val="en-CA"/>
        </w:rPr>
        <w:t xml:space="preserve"> as a case study to examine </w:t>
      </w:r>
      <w:r w:rsidR="00A13875" w:rsidRPr="00CC5771">
        <w:rPr>
          <w:rFonts w:ascii="Times New Roman" w:hAnsi="Times New Roman" w:cs="Times New Roman"/>
          <w:lang w:val="en-CA"/>
        </w:rPr>
        <w:t>how</w:t>
      </w:r>
      <w:r w:rsidR="00B67F18" w:rsidRPr="00CC5771">
        <w:rPr>
          <w:rFonts w:ascii="Times New Roman" w:hAnsi="Times New Roman" w:cs="Times New Roman"/>
          <w:lang w:val="en-CA"/>
        </w:rPr>
        <w:t xml:space="preserve"> “gender identity” and</w:t>
      </w:r>
      <w:r w:rsidR="00A829C4" w:rsidRPr="00CC5771">
        <w:rPr>
          <w:rFonts w:ascii="Times New Roman" w:hAnsi="Times New Roman" w:cs="Times New Roman"/>
          <w:lang w:val="en-CA"/>
        </w:rPr>
        <w:t xml:space="preserve"> “gender expression</w:t>
      </w:r>
      <w:r w:rsidR="00B67F18" w:rsidRPr="00CC5771">
        <w:rPr>
          <w:rFonts w:ascii="Times New Roman" w:hAnsi="Times New Roman" w:cs="Times New Roman"/>
          <w:lang w:val="en-CA"/>
        </w:rPr>
        <w:t>”</w:t>
      </w:r>
      <w:r w:rsidR="007413CF" w:rsidRPr="00CC5771">
        <w:rPr>
          <w:rFonts w:ascii="Times New Roman" w:hAnsi="Times New Roman" w:cs="Times New Roman"/>
          <w:lang w:val="en-CA"/>
        </w:rPr>
        <w:t xml:space="preserve"> protections</w:t>
      </w:r>
      <w:r w:rsidR="00B67F18" w:rsidRPr="00CC5771">
        <w:rPr>
          <w:rFonts w:ascii="Times New Roman" w:hAnsi="Times New Roman" w:cs="Times New Roman"/>
          <w:lang w:val="en-CA"/>
        </w:rPr>
        <w:t xml:space="preserve"> are</w:t>
      </w:r>
      <w:r w:rsidR="00A829C4" w:rsidRPr="00CC5771">
        <w:rPr>
          <w:rFonts w:ascii="Times New Roman" w:hAnsi="Times New Roman" w:cs="Times New Roman"/>
          <w:lang w:val="en-CA"/>
        </w:rPr>
        <w:t xml:space="preserve"> being brought to life </w:t>
      </w:r>
      <w:r w:rsidR="00A13875" w:rsidRPr="00CC5771">
        <w:rPr>
          <w:rFonts w:ascii="Times New Roman" w:hAnsi="Times New Roman" w:cs="Times New Roman"/>
          <w:lang w:val="en-CA"/>
        </w:rPr>
        <w:t>outside courts and tribunals</w:t>
      </w:r>
      <w:r w:rsidR="00A829C4" w:rsidRPr="00CC5771">
        <w:rPr>
          <w:rFonts w:ascii="Times New Roman" w:hAnsi="Times New Roman" w:cs="Times New Roman"/>
          <w:lang w:val="en-CA"/>
        </w:rPr>
        <w:t xml:space="preserve">. Ultimately, the paper aims to provide an account of the variegated ways in which </w:t>
      </w:r>
      <w:r w:rsidR="00244792" w:rsidRPr="00CC5771">
        <w:rPr>
          <w:rFonts w:ascii="Times New Roman" w:hAnsi="Times New Roman" w:cs="Times New Roman"/>
          <w:lang w:val="en-CA"/>
        </w:rPr>
        <w:t xml:space="preserve">“gender identity” and “gender </w:t>
      </w:r>
      <w:r w:rsidR="00244792" w:rsidRPr="00CC5771">
        <w:rPr>
          <w:rFonts w:ascii="Times New Roman" w:hAnsi="Times New Roman" w:cs="Times New Roman"/>
          <w:lang w:val="en-CA"/>
        </w:rPr>
        <w:lastRenderedPageBreak/>
        <w:t>expression”</w:t>
      </w:r>
      <w:r w:rsidR="00250B11" w:rsidRPr="00CC5771">
        <w:rPr>
          <w:rFonts w:ascii="Times New Roman" w:hAnsi="Times New Roman" w:cs="Times New Roman"/>
          <w:lang w:val="en-CA"/>
        </w:rPr>
        <w:t xml:space="preserve"> </w:t>
      </w:r>
      <w:r w:rsidR="00A13875" w:rsidRPr="00CC5771">
        <w:rPr>
          <w:rFonts w:ascii="Times New Roman" w:hAnsi="Times New Roman" w:cs="Times New Roman"/>
          <w:lang w:val="en-CA"/>
        </w:rPr>
        <w:t>norms are emerging in the education contex</w:t>
      </w:r>
      <w:r w:rsidR="00162B72" w:rsidRPr="00CC5771">
        <w:rPr>
          <w:rFonts w:ascii="Times New Roman" w:hAnsi="Times New Roman" w:cs="Times New Roman"/>
          <w:lang w:val="en-CA"/>
        </w:rPr>
        <w:t>t in ways that shape our collective understandings of the terms themselves.</w:t>
      </w:r>
    </w:p>
    <w:p w14:paraId="75C787E8" w14:textId="53D55F49" w:rsidR="009432AF" w:rsidRPr="00CC5771" w:rsidRDefault="0099173F" w:rsidP="004D0F4E">
      <w:pPr>
        <w:spacing w:after="240" w:line="480" w:lineRule="auto"/>
        <w:rPr>
          <w:rFonts w:ascii="Times New Roman" w:hAnsi="Times New Roman" w:cs="Times New Roman"/>
          <w:b/>
          <w:lang w:val="en-CA"/>
        </w:rPr>
      </w:pPr>
      <w:r w:rsidRPr="00CC5771">
        <w:rPr>
          <w:rFonts w:ascii="Times New Roman" w:hAnsi="Times New Roman" w:cs="Times New Roman"/>
          <w:b/>
          <w:lang w:val="en-CA"/>
        </w:rPr>
        <w:t xml:space="preserve">I. </w:t>
      </w:r>
      <w:r w:rsidR="00742D49" w:rsidRPr="00CC5771">
        <w:rPr>
          <w:rFonts w:ascii="Times New Roman" w:hAnsi="Times New Roman" w:cs="Times New Roman"/>
          <w:b/>
          <w:lang w:val="en-CA"/>
        </w:rPr>
        <w:t>Human Rights Law: Modulating Between Optimism and Criticism</w:t>
      </w:r>
    </w:p>
    <w:p w14:paraId="51E82423" w14:textId="383D5A30" w:rsidR="007E1343" w:rsidRPr="00CC5771" w:rsidRDefault="00E87317"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 xml:space="preserve">Over the past </w:t>
      </w:r>
      <w:r w:rsidR="00A56896" w:rsidRPr="00CC5771">
        <w:rPr>
          <w:rFonts w:ascii="Times New Roman" w:hAnsi="Times New Roman" w:cs="Times New Roman"/>
          <w:lang w:val="en-CA"/>
        </w:rPr>
        <w:t>three</w:t>
      </w:r>
      <w:r w:rsidRPr="00CC5771">
        <w:rPr>
          <w:rFonts w:ascii="Times New Roman" w:hAnsi="Times New Roman" w:cs="Times New Roman"/>
          <w:lang w:val="en-CA"/>
        </w:rPr>
        <w:t xml:space="preserve"> decades, trans</w:t>
      </w:r>
      <w:r w:rsidR="008576BC" w:rsidRPr="00CC5771">
        <w:rPr>
          <w:rFonts w:ascii="Times New Roman" w:hAnsi="Times New Roman" w:cs="Times New Roman"/>
          <w:lang w:val="en-CA"/>
        </w:rPr>
        <w:t>gender</w:t>
      </w:r>
      <w:r w:rsidRPr="00CC5771">
        <w:rPr>
          <w:rFonts w:ascii="Times New Roman" w:hAnsi="Times New Roman" w:cs="Times New Roman"/>
          <w:lang w:val="en-CA"/>
        </w:rPr>
        <w:t xml:space="preserve"> and/or binary communities have </w:t>
      </w:r>
      <w:r w:rsidR="00340235" w:rsidRPr="00CC5771">
        <w:rPr>
          <w:rFonts w:ascii="Times New Roman" w:hAnsi="Times New Roman" w:cs="Times New Roman"/>
          <w:lang w:val="en-CA"/>
        </w:rPr>
        <w:t>harnessed</w:t>
      </w:r>
      <w:r w:rsidRPr="00CC5771">
        <w:rPr>
          <w:rFonts w:ascii="Times New Roman" w:hAnsi="Times New Roman" w:cs="Times New Roman"/>
          <w:lang w:val="en-CA"/>
        </w:rPr>
        <w:t xml:space="preserve"> </w:t>
      </w:r>
      <w:r w:rsidR="00A56896" w:rsidRPr="00CC5771">
        <w:rPr>
          <w:rFonts w:ascii="Times New Roman" w:hAnsi="Times New Roman" w:cs="Times New Roman"/>
          <w:lang w:val="en-CA"/>
        </w:rPr>
        <w:t xml:space="preserve">human rights law in an effort to combat </w:t>
      </w:r>
      <w:r w:rsidR="00387657" w:rsidRPr="00CC5771">
        <w:rPr>
          <w:rFonts w:ascii="Times New Roman" w:hAnsi="Times New Roman" w:cs="Times New Roman"/>
          <w:lang w:val="en-CA"/>
        </w:rPr>
        <w:t xml:space="preserve">pervasive levels of discrimination, harassment, and violence </w:t>
      </w:r>
      <w:r w:rsidR="00A56896" w:rsidRPr="00CC5771">
        <w:rPr>
          <w:rFonts w:ascii="Times New Roman" w:hAnsi="Times New Roman" w:cs="Times New Roman"/>
          <w:lang w:val="en-CA"/>
        </w:rPr>
        <w:t xml:space="preserve">in </w:t>
      </w:r>
      <w:r w:rsidR="00A61DB6" w:rsidRPr="00CC5771">
        <w:rPr>
          <w:rFonts w:ascii="Times New Roman" w:hAnsi="Times New Roman" w:cs="Times New Roman"/>
          <w:lang w:val="en-CA"/>
        </w:rPr>
        <w:t xml:space="preserve">a </w:t>
      </w:r>
      <w:r w:rsidR="00340235" w:rsidRPr="00CC5771">
        <w:rPr>
          <w:rFonts w:ascii="Times New Roman" w:hAnsi="Times New Roman" w:cs="Times New Roman"/>
          <w:lang w:val="en-CA"/>
        </w:rPr>
        <w:t>variety of</w:t>
      </w:r>
      <w:r w:rsidR="00A61DB6" w:rsidRPr="00CC5771">
        <w:rPr>
          <w:rFonts w:ascii="Times New Roman" w:hAnsi="Times New Roman" w:cs="Times New Roman"/>
          <w:lang w:val="en-CA"/>
        </w:rPr>
        <w:t xml:space="preserve"> </w:t>
      </w:r>
      <w:r w:rsidR="00A56896" w:rsidRPr="00CC5771">
        <w:rPr>
          <w:rFonts w:ascii="Times New Roman" w:hAnsi="Times New Roman" w:cs="Times New Roman"/>
          <w:lang w:val="en-CA"/>
        </w:rPr>
        <w:t>public and private contexts</w:t>
      </w:r>
      <w:r w:rsidR="006A7BBD" w:rsidRPr="00CC5771">
        <w:rPr>
          <w:rFonts w:ascii="Times New Roman" w:hAnsi="Times New Roman" w:cs="Times New Roman"/>
          <w:lang w:val="en-CA"/>
        </w:rPr>
        <w:t>.</w:t>
      </w:r>
      <w:r w:rsidR="006A7BBD" w:rsidRPr="00CC5771">
        <w:rPr>
          <w:rStyle w:val="FootnoteReference"/>
          <w:rFonts w:ascii="Times New Roman" w:hAnsi="Times New Roman" w:cs="Times New Roman"/>
          <w:lang w:val="en-CA"/>
        </w:rPr>
        <w:footnoteReference w:id="8"/>
      </w:r>
      <w:r w:rsidR="006A7BBD" w:rsidRPr="00CC5771">
        <w:rPr>
          <w:rFonts w:ascii="Times New Roman" w:hAnsi="Times New Roman" w:cs="Times New Roman"/>
          <w:lang w:val="en-CA"/>
        </w:rPr>
        <w:t xml:space="preserve"> </w:t>
      </w:r>
      <w:r w:rsidR="007E1343" w:rsidRPr="00CC5771">
        <w:rPr>
          <w:rFonts w:ascii="Times New Roman" w:hAnsi="Times New Roman" w:cs="Times New Roman"/>
          <w:lang w:val="en-CA"/>
        </w:rPr>
        <w:t>While claimants had, since at least 1982,</w:t>
      </w:r>
      <w:r w:rsidR="007E1343" w:rsidRPr="00CC5771">
        <w:rPr>
          <w:rStyle w:val="FootnoteReference"/>
          <w:rFonts w:ascii="Times New Roman" w:hAnsi="Times New Roman" w:cs="Times New Roman"/>
          <w:lang w:val="en-CA"/>
        </w:rPr>
        <w:footnoteReference w:id="9"/>
      </w:r>
      <w:r w:rsidR="007E1343" w:rsidRPr="00CC5771">
        <w:rPr>
          <w:rFonts w:ascii="Times New Roman" w:hAnsi="Times New Roman" w:cs="Times New Roman"/>
          <w:lang w:val="en-CA"/>
        </w:rPr>
        <w:t xml:space="preserve"> successfully argued that </w:t>
      </w:r>
      <w:r w:rsidR="000933F7" w:rsidRPr="00CC5771">
        <w:rPr>
          <w:rFonts w:ascii="Times New Roman" w:hAnsi="Times New Roman" w:cs="Times New Roman"/>
          <w:lang w:val="en-CA"/>
        </w:rPr>
        <w:t xml:space="preserve">they </w:t>
      </w:r>
      <w:r w:rsidR="007E1343" w:rsidRPr="00CC5771">
        <w:rPr>
          <w:rFonts w:ascii="Times New Roman" w:hAnsi="Times New Roman" w:cs="Times New Roman"/>
          <w:lang w:val="en-CA"/>
        </w:rPr>
        <w:t xml:space="preserve">were </w:t>
      </w:r>
      <w:r w:rsidR="00E124F1" w:rsidRPr="00CC5771">
        <w:rPr>
          <w:rFonts w:ascii="Times New Roman" w:hAnsi="Times New Roman" w:cs="Times New Roman"/>
          <w:lang w:val="en-CA"/>
        </w:rPr>
        <w:t xml:space="preserve">protected </w:t>
      </w:r>
      <w:r w:rsidR="007E1343" w:rsidRPr="00CC5771">
        <w:rPr>
          <w:rFonts w:ascii="Times New Roman" w:hAnsi="Times New Roman" w:cs="Times New Roman"/>
          <w:lang w:val="en-CA"/>
        </w:rPr>
        <w:t>by existing human rights grounds including “sex”</w:t>
      </w:r>
      <w:r w:rsidR="00AD6342" w:rsidRPr="00CC5771">
        <w:rPr>
          <w:rStyle w:val="FootnoteReference"/>
          <w:rFonts w:ascii="Times New Roman" w:hAnsi="Times New Roman" w:cs="Times New Roman"/>
          <w:lang w:val="en-CA"/>
        </w:rPr>
        <w:footnoteReference w:id="10"/>
      </w:r>
      <w:r w:rsidR="007E1343" w:rsidRPr="00CC5771">
        <w:rPr>
          <w:rFonts w:ascii="Times New Roman" w:hAnsi="Times New Roman" w:cs="Times New Roman"/>
          <w:lang w:val="en-CA"/>
        </w:rPr>
        <w:t xml:space="preserve"> and “disability,” Canadian lawmakers initiated the process of adding the terms “gender identity” and, </w:t>
      </w:r>
      <w:r w:rsidR="009D0CE5" w:rsidRPr="00CC5771">
        <w:rPr>
          <w:rFonts w:ascii="Times New Roman" w:hAnsi="Times New Roman" w:cs="Times New Roman"/>
          <w:lang w:val="en-CA"/>
        </w:rPr>
        <w:t>later,</w:t>
      </w:r>
      <w:r w:rsidR="007E1343" w:rsidRPr="00CC5771">
        <w:rPr>
          <w:rFonts w:ascii="Times New Roman" w:hAnsi="Times New Roman" w:cs="Times New Roman"/>
          <w:lang w:val="en-CA"/>
        </w:rPr>
        <w:t xml:space="preserve"> “gender expression</w:t>
      </w:r>
      <w:r w:rsidR="009C3F79">
        <w:rPr>
          <w:rFonts w:ascii="Times New Roman" w:hAnsi="Times New Roman" w:cs="Times New Roman"/>
          <w:lang w:val="en-CA"/>
        </w:rPr>
        <w:t>,”</w:t>
      </w:r>
      <w:r w:rsidR="007E1343" w:rsidRPr="00CC5771">
        <w:rPr>
          <w:rFonts w:ascii="Times New Roman" w:hAnsi="Times New Roman" w:cs="Times New Roman"/>
          <w:lang w:val="en-CA"/>
        </w:rPr>
        <w:t xml:space="preserve"> beginning in 2002.</w:t>
      </w:r>
      <w:r w:rsidR="007E1343" w:rsidRPr="00CC5771">
        <w:rPr>
          <w:rStyle w:val="FootnoteReference"/>
          <w:rFonts w:ascii="Times New Roman" w:hAnsi="Times New Roman" w:cs="Times New Roman"/>
          <w:lang w:val="en-CA"/>
        </w:rPr>
        <w:footnoteReference w:id="11"/>
      </w:r>
      <w:r w:rsidR="007E1343" w:rsidRPr="00CC5771">
        <w:rPr>
          <w:rFonts w:ascii="Times New Roman" w:hAnsi="Times New Roman" w:cs="Times New Roman"/>
          <w:lang w:val="en-CA"/>
        </w:rPr>
        <w:t xml:space="preserve"> As they </w:t>
      </w:r>
      <w:r w:rsidR="000F74B7" w:rsidRPr="00CC5771">
        <w:rPr>
          <w:rFonts w:ascii="Times New Roman" w:hAnsi="Times New Roman" w:cs="Times New Roman"/>
          <w:lang w:val="en-CA"/>
        </w:rPr>
        <w:t>amended human</w:t>
      </w:r>
      <w:r w:rsidR="007E1343" w:rsidRPr="00CC5771">
        <w:rPr>
          <w:rFonts w:ascii="Times New Roman" w:hAnsi="Times New Roman" w:cs="Times New Roman"/>
          <w:lang w:val="en-CA"/>
        </w:rPr>
        <w:t xml:space="preserve"> rights instruments across the country, lawmakers tended to make optimistic </w:t>
      </w:r>
      <w:r w:rsidR="001A6958" w:rsidRPr="00CC5771">
        <w:rPr>
          <w:rFonts w:ascii="Times New Roman" w:hAnsi="Times New Roman" w:cs="Times New Roman"/>
          <w:lang w:val="en-CA"/>
        </w:rPr>
        <w:t>statements</w:t>
      </w:r>
      <w:r w:rsidR="007E1343" w:rsidRPr="00CC5771">
        <w:rPr>
          <w:rFonts w:ascii="Times New Roman" w:hAnsi="Times New Roman" w:cs="Times New Roman"/>
          <w:lang w:val="en-CA"/>
        </w:rPr>
        <w:t xml:space="preserve"> about the prospect of </w:t>
      </w:r>
      <w:r w:rsidR="000933F7" w:rsidRPr="00CC5771">
        <w:rPr>
          <w:rFonts w:ascii="Times New Roman" w:hAnsi="Times New Roman" w:cs="Times New Roman"/>
          <w:lang w:val="en-CA"/>
        </w:rPr>
        <w:t>explicitly</w:t>
      </w:r>
      <w:r w:rsidR="007E1343" w:rsidRPr="00CC5771">
        <w:rPr>
          <w:rFonts w:ascii="Times New Roman" w:hAnsi="Times New Roman" w:cs="Times New Roman"/>
          <w:lang w:val="en-CA"/>
        </w:rPr>
        <w:t xml:space="preserve"> enshrining “gender identity” and “gender expression” in law. For example, during the second reading of </w:t>
      </w:r>
      <w:r w:rsidR="007E1343" w:rsidRPr="00CC5771">
        <w:rPr>
          <w:rFonts w:ascii="Times New Roman" w:hAnsi="Times New Roman" w:cs="Times New Roman"/>
          <w:i/>
          <w:lang w:val="en-CA"/>
        </w:rPr>
        <w:t>Toby</w:t>
      </w:r>
      <w:r w:rsidR="00912EC7">
        <w:rPr>
          <w:rFonts w:ascii="Times New Roman" w:hAnsi="Times New Roman" w:cs="Times New Roman"/>
          <w:i/>
          <w:lang w:val="en-CA"/>
        </w:rPr>
        <w:t>’</w:t>
      </w:r>
      <w:r w:rsidR="007E1343" w:rsidRPr="00CC5771">
        <w:rPr>
          <w:rFonts w:ascii="Times New Roman" w:hAnsi="Times New Roman" w:cs="Times New Roman"/>
          <w:i/>
          <w:lang w:val="en-CA"/>
        </w:rPr>
        <w:t>s Act</w:t>
      </w:r>
      <w:r w:rsidR="007E1343" w:rsidRPr="00CC5771">
        <w:rPr>
          <w:rFonts w:ascii="Times New Roman" w:hAnsi="Times New Roman" w:cs="Times New Roman"/>
          <w:lang w:val="en-CA"/>
        </w:rPr>
        <w:t>,</w:t>
      </w:r>
      <w:r w:rsidR="00A13875" w:rsidRPr="00CC5771">
        <w:rPr>
          <w:rStyle w:val="FootnoteReference"/>
          <w:rFonts w:ascii="Times New Roman" w:hAnsi="Times New Roman" w:cs="Times New Roman"/>
          <w:lang w:val="en-CA"/>
        </w:rPr>
        <w:footnoteReference w:id="12"/>
      </w:r>
      <w:r w:rsidR="007E1343" w:rsidRPr="00CC5771">
        <w:rPr>
          <w:rFonts w:ascii="Times New Roman" w:hAnsi="Times New Roman" w:cs="Times New Roman"/>
          <w:lang w:val="en-CA"/>
        </w:rPr>
        <w:t xml:space="preserve"> the law that added “gender identity” and “gender expression” as protected grounds in the Ontario</w:t>
      </w:r>
      <w:r w:rsidR="007E1343" w:rsidRPr="00CC5771">
        <w:rPr>
          <w:rFonts w:ascii="Times New Roman" w:hAnsi="Times New Roman" w:cs="Times New Roman"/>
          <w:i/>
          <w:lang w:val="en-CA"/>
        </w:rPr>
        <w:t xml:space="preserve"> Human Rights Code</w:t>
      </w:r>
      <w:r w:rsidR="007E1343" w:rsidRPr="00CC5771">
        <w:rPr>
          <w:rFonts w:ascii="Times New Roman" w:hAnsi="Times New Roman" w:cs="Times New Roman"/>
          <w:lang w:val="en-CA"/>
        </w:rPr>
        <w:t xml:space="preserve">, Member of Provincial Parliament Cheri Di </w:t>
      </w:r>
      <w:r w:rsidR="007E1343" w:rsidRPr="00CC5771">
        <w:rPr>
          <w:rFonts w:ascii="Times New Roman" w:hAnsi="Times New Roman" w:cs="Times New Roman"/>
          <w:lang w:val="en-CA"/>
        </w:rPr>
        <w:lastRenderedPageBreak/>
        <w:t xml:space="preserve">Novo proclaimed: “We need to save lives here. We need to include a group that has been excluded for a long, long time in the Ontario </w:t>
      </w:r>
      <w:r w:rsidR="007E1343" w:rsidRPr="00CC5771">
        <w:rPr>
          <w:rFonts w:ascii="Times New Roman" w:hAnsi="Times New Roman" w:cs="Times New Roman"/>
          <w:i/>
          <w:lang w:val="en-CA"/>
        </w:rPr>
        <w:t>Human Rights Code</w:t>
      </w:r>
      <w:r w:rsidR="007E1343" w:rsidRPr="00CC5771">
        <w:rPr>
          <w:rFonts w:ascii="Times New Roman" w:hAnsi="Times New Roman" w:cs="Times New Roman"/>
          <w:lang w:val="en-CA"/>
        </w:rPr>
        <w:t>.”</w:t>
      </w:r>
      <w:r w:rsidR="007E1343" w:rsidRPr="00CC5771">
        <w:rPr>
          <w:rStyle w:val="FootnoteReference"/>
          <w:rFonts w:ascii="Times New Roman" w:hAnsi="Times New Roman" w:cs="Times New Roman"/>
          <w:lang w:val="en-CA"/>
        </w:rPr>
        <w:footnoteReference w:id="13"/>
      </w:r>
      <w:r w:rsidR="007E1343" w:rsidRPr="00CC5771">
        <w:rPr>
          <w:rFonts w:ascii="Times New Roman" w:hAnsi="Times New Roman" w:cs="Times New Roman"/>
          <w:lang w:val="en-CA"/>
        </w:rPr>
        <w:t xml:space="preserve"> As of 2017, every jurisdiction in Canada</w:t>
      </w:r>
      <w:r w:rsidR="000641DD">
        <w:rPr>
          <w:rFonts w:ascii="Times New Roman" w:hAnsi="Times New Roman" w:cs="Times New Roman"/>
          <w:lang w:val="en-CA"/>
        </w:rPr>
        <w:t>—</w:t>
      </w:r>
      <w:r w:rsidR="007E1343" w:rsidRPr="00CC5771">
        <w:rPr>
          <w:rFonts w:ascii="Times New Roman" w:hAnsi="Times New Roman" w:cs="Times New Roman"/>
          <w:lang w:val="en-CA"/>
        </w:rPr>
        <w:t>federal, provincial, and territorial</w:t>
      </w:r>
      <w:r w:rsidR="000641DD">
        <w:rPr>
          <w:rFonts w:ascii="Times New Roman" w:hAnsi="Times New Roman" w:cs="Times New Roman"/>
          <w:lang w:val="en-CA"/>
        </w:rPr>
        <w:t>—</w:t>
      </w:r>
      <w:r w:rsidR="007E1343" w:rsidRPr="00CC5771">
        <w:rPr>
          <w:rFonts w:ascii="Times New Roman" w:hAnsi="Times New Roman" w:cs="Times New Roman"/>
          <w:lang w:val="en-CA"/>
        </w:rPr>
        <w:t xml:space="preserve">had introduced legislation amending their human rights codes to </w:t>
      </w:r>
      <w:r w:rsidR="007413CF" w:rsidRPr="00CC5771">
        <w:rPr>
          <w:rFonts w:ascii="Times New Roman" w:hAnsi="Times New Roman" w:cs="Times New Roman"/>
          <w:lang w:val="en-CA"/>
        </w:rPr>
        <w:t>include “gender identity” and “gender expression</w:t>
      </w:r>
      <w:r w:rsidR="009C3F79">
        <w:rPr>
          <w:rFonts w:ascii="Times New Roman" w:hAnsi="Times New Roman" w:cs="Times New Roman"/>
          <w:lang w:val="en-CA"/>
        </w:rPr>
        <w:t>.”</w:t>
      </w:r>
      <w:r w:rsidR="007E1343" w:rsidRPr="00CC5771">
        <w:rPr>
          <w:rFonts w:ascii="Times New Roman" w:hAnsi="Times New Roman" w:cs="Times New Roman"/>
          <w:lang w:val="en-CA"/>
        </w:rPr>
        <w:t xml:space="preserve"> </w:t>
      </w:r>
      <w:r w:rsidR="00CD42DE" w:rsidRPr="00CC5771">
        <w:rPr>
          <w:rFonts w:ascii="Times New Roman" w:hAnsi="Times New Roman" w:cs="Times New Roman"/>
          <w:lang w:val="en-CA"/>
        </w:rPr>
        <w:t xml:space="preserve">However, none </w:t>
      </w:r>
      <w:r w:rsidR="007E1343" w:rsidRPr="00CC5771">
        <w:rPr>
          <w:rFonts w:ascii="Times New Roman" w:hAnsi="Times New Roman" w:cs="Times New Roman"/>
          <w:lang w:val="en-CA"/>
        </w:rPr>
        <w:t xml:space="preserve">of </w:t>
      </w:r>
      <w:r w:rsidR="00CD42DE" w:rsidRPr="00CC5771">
        <w:rPr>
          <w:rFonts w:ascii="Times New Roman" w:hAnsi="Times New Roman" w:cs="Times New Roman"/>
          <w:lang w:val="en-CA"/>
        </w:rPr>
        <w:t xml:space="preserve">the </w:t>
      </w:r>
      <w:r w:rsidR="007E1343" w:rsidRPr="00CC5771">
        <w:rPr>
          <w:rFonts w:ascii="Times New Roman" w:hAnsi="Times New Roman" w:cs="Times New Roman"/>
          <w:lang w:val="en-CA"/>
        </w:rPr>
        <w:t xml:space="preserve">laws </w:t>
      </w:r>
      <w:r w:rsidR="00BF6961">
        <w:rPr>
          <w:rFonts w:ascii="Times New Roman" w:hAnsi="Times New Roman" w:cs="Times New Roman"/>
          <w:lang w:val="en-CA"/>
        </w:rPr>
        <w:t>have</w:t>
      </w:r>
      <w:r w:rsidR="00033097">
        <w:rPr>
          <w:rFonts w:ascii="Times New Roman" w:hAnsi="Times New Roman" w:cs="Times New Roman"/>
          <w:lang w:val="en-CA"/>
        </w:rPr>
        <w:t xml:space="preserve"> </w:t>
      </w:r>
      <w:r w:rsidR="007E1343" w:rsidRPr="00CC5771">
        <w:rPr>
          <w:rFonts w:ascii="Times New Roman" w:hAnsi="Times New Roman" w:cs="Times New Roman"/>
          <w:lang w:val="en-CA"/>
        </w:rPr>
        <w:t>expressly define</w:t>
      </w:r>
      <w:r w:rsidR="009D0CE5" w:rsidRPr="00CC5771">
        <w:rPr>
          <w:rFonts w:ascii="Times New Roman" w:hAnsi="Times New Roman" w:cs="Times New Roman"/>
          <w:lang w:val="en-CA"/>
        </w:rPr>
        <w:t>d</w:t>
      </w:r>
      <w:r w:rsidR="007413CF" w:rsidRPr="00CC5771">
        <w:rPr>
          <w:rFonts w:ascii="Times New Roman" w:hAnsi="Times New Roman" w:cs="Times New Roman"/>
          <w:lang w:val="en-CA"/>
        </w:rPr>
        <w:t xml:space="preserve"> the</w:t>
      </w:r>
      <w:r w:rsidR="00A04F90" w:rsidRPr="00CC5771">
        <w:rPr>
          <w:rFonts w:ascii="Times New Roman" w:hAnsi="Times New Roman" w:cs="Times New Roman"/>
          <w:lang w:val="en-CA"/>
        </w:rPr>
        <w:t>se</w:t>
      </w:r>
      <w:r w:rsidR="007413CF" w:rsidRPr="00CC5771">
        <w:rPr>
          <w:rFonts w:ascii="Times New Roman" w:hAnsi="Times New Roman" w:cs="Times New Roman"/>
          <w:lang w:val="en-CA"/>
        </w:rPr>
        <w:t xml:space="preserve"> terms</w:t>
      </w:r>
      <w:r w:rsidR="007E1343" w:rsidRPr="00CC5771">
        <w:rPr>
          <w:rFonts w:ascii="Times New Roman" w:hAnsi="Times New Roman" w:cs="Times New Roman"/>
          <w:lang w:val="en-CA"/>
        </w:rPr>
        <w:t>.</w:t>
      </w:r>
      <w:r w:rsidR="007E1343" w:rsidRPr="00CC5771">
        <w:rPr>
          <w:rStyle w:val="FootnoteReference"/>
          <w:rFonts w:ascii="Times New Roman" w:hAnsi="Times New Roman" w:cs="Times New Roman"/>
          <w:lang w:val="en-CA"/>
        </w:rPr>
        <w:footnoteReference w:id="14"/>
      </w:r>
      <w:r w:rsidR="007E1343" w:rsidRPr="00CC5771">
        <w:rPr>
          <w:rFonts w:ascii="Times New Roman" w:hAnsi="Times New Roman" w:cs="Times New Roman"/>
          <w:lang w:val="en-CA"/>
        </w:rPr>
        <w:t xml:space="preserve"> </w:t>
      </w:r>
    </w:p>
    <w:p w14:paraId="1CA5CCB1" w14:textId="0E0AA12B" w:rsidR="006343ED" w:rsidRPr="00CC5771" w:rsidRDefault="007E1343"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 xml:space="preserve">This suite of legislative reforms </w:t>
      </w:r>
      <w:r w:rsidR="007A104D" w:rsidRPr="00CC5771">
        <w:rPr>
          <w:rFonts w:ascii="Times New Roman" w:hAnsi="Times New Roman" w:cs="Times New Roman"/>
          <w:lang w:val="en-CA"/>
        </w:rPr>
        <w:t>explicitly added “gender identity” and “gender expression” to</w:t>
      </w:r>
      <w:r w:rsidRPr="00CC5771">
        <w:rPr>
          <w:rFonts w:ascii="Times New Roman" w:hAnsi="Times New Roman" w:cs="Times New Roman"/>
          <w:lang w:val="en-CA"/>
        </w:rPr>
        <w:t xml:space="preserve"> </w:t>
      </w:r>
      <w:r w:rsidR="007A104D" w:rsidRPr="00CC5771">
        <w:rPr>
          <w:rFonts w:ascii="Times New Roman" w:hAnsi="Times New Roman" w:cs="Times New Roman"/>
          <w:lang w:val="en-CA"/>
        </w:rPr>
        <w:t>the</w:t>
      </w:r>
      <w:r w:rsidR="009D0CE5" w:rsidRPr="00CC5771">
        <w:rPr>
          <w:rFonts w:ascii="Times New Roman" w:hAnsi="Times New Roman" w:cs="Times New Roman"/>
          <w:lang w:val="en-CA"/>
        </w:rPr>
        <w:t xml:space="preserve"> corpus of</w:t>
      </w:r>
      <w:r w:rsidRPr="00CC5771">
        <w:rPr>
          <w:rFonts w:ascii="Times New Roman" w:hAnsi="Times New Roman" w:cs="Times New Roman"/>
          <w:lang w:val="en-CA"/>
        </w:rPr>
        <w:t xml:space="preserve"> </w:t>
      </w:r>
      <w:r w:rsidR="00831AEC" w:rsidRPr="00CC5771">
        <w:rPr>
          <w:rFonts w:ascii="Times New Roman" w:hAnsi="Times New Roman" w:cs="Times New Roman"/>
          <w:lang w:val="en-CA"/>
        </w:rPr>
        <w:t>Canadian anti-discrimination law.</w:t>
      </w:r>
      <w:r w:rsidR="007015B8" w:rsidRPr="00CC5771">
        <w:rPr>
          <w:rFonts w:ascii="Times New Roman" w:hAnsi="Times New Roman" w:cs="Times New Roman"/>
          <w:lang w:val="en-CA"/>
        </w:rPr>
        <w:t xml:space="preserve"> </w:t>
      </w:r>
      <w:r w:rsidR="00162B72" w:rsidRPr="00CC5771">
        <w:rPr>
          <w:rFonts w:ascii="Times New Roman" w:hAnsi="Times New Roman" w:cs="Times New Roman"/>
          <w:lang w:val="en-CA"/>
        </w:rPr>
        <w:t>The</w:t>
      </w:r>
      <w:r w:rsidR="00A56896" w:rsidRPr="00CC5771">
        <w:rPr>
          <w:rFonts w:ascii="Times New Roman" w:hAnsi="Times New Roman" w:cs="Times New Roman"/>
          <w:lang w:val="en-CA"/>
        </w:rPr>
        <w:t xml:space="preserve"> </w:t>
      </w:r>
      <w:r w:rsidR="006A7BBD" w:rsidRPr="00CC5771">
        <w:rPr>
          <w:rFonts w:ascii="Times New Roman" w:hAnsi="Times New Roman" w:cs="Times New Roman"/>
          <w:lang w:val="en-CA"/>
        </w:rPr>
        <w:t xml:space="preserve">paradigmatic anti-discrimination formula </w:t>
      </w:r>
      <w:r w:rsidR="00276D9D" w:rsidRPr="00CC5771">
        <w:rPr>
          <w:rFonts w:ascii="Times New Roman" w:hAnsi="Times New Roman" w:cs="Times New Roman"/>
          <w:lang w:val="en-CA"/>
        </w:rPr>
        <w:t>in Canada is</w:t>
      </w:r>
      <w:r w:rsidR="006A7BBD" w:rsidRPr="00CC5771">
        <w:rPr>
          <w:rFonts w:ascii="Times New Roman" w:hAnsi="Times New Roman" w:cs="Times New Roman"/>
          <w:lang w:val="en-CA"/>
        </w:rPr>
        <w:t xml:space="preserve"> </w:t>
      </w:r>
      <w:r w:rsidR="00E01899" w:rsidRPr="00CC5771">
        <w:rPr>
          <w:rFonts w:ascii="Times New Roman" w:hAnsi="Times New Roman" w:cs="Times New Roman"/>
          <w:lang w:val="en-CA"/>
        </w:rPr>
        <w:t xml:space="preserve">to identify groups subject to discrimination, locate and define their characteristics, and frame those characteristics as prohibited grounds (e.g. “gender identity” and “gender expression”) </w:t>
      </w:r>
      <w:r w:rsidR="00116C2D" w:rsidRPr="00CC5771">
        <w:rPr>
          <w:rFonts w:ascii="Times New Roman" w:hAnsi="Times New Roman" w:cs="Times New Roman"/>
          <w:lang w:val="en-CA"/>
        </w:rPr>
        <w:t>that apply in</w:t>
      </w:r>
      <w:r w:rsidR="00E01899" w:rsidRPr="00CC5771">
        <w:rPr>
          <w:rFonts w:ascii="Times New Roman" w:hAnsi="Times New Roman" w:cs="Times New Roman"/>
          <w:lang w:val="en-CA"/>
        </w:rPr>
        <w:t xml:space="preserve"> contexts such as employment and service delivery.</w:t>
      </w:r>
      <w:r w:rsidR="006A7BBD" w:rsidRPr="00CC5771">
        <w:rPr>
          <w:rStyle w:val="FootnoteReference"/>
          <w:rFonts w:ascii="Times New Roman" w:hAnsi="Times New Roman" w:cs="Times New Roman"/>
          <w:lang w:val="en-CA"/>
        </w:rPr>
        <w:footnoteReference w:id="15"/>
      </w:r>
      <w:r w:rsidR="006A7BBD" w:rsidRPr="00CC5771">
        <w:rPr>
          <w:rFonts w:ascii="Times New Roman" w:hAnsi="Times New Roman" w:cs="Times New Roman"/>
          <w:lang w:val="en-CA"/>
        </w:rPr>
        <w:t xml:space="preserve"> In Canada, </w:t>
      </w:r>
      <w:r w:rsidR="00831AEC" w:rsidRPr="00CC5771">
        <w:rPr>
          <w:rFonts w:ascii="Times New Roman" w:hAnsi="Times New Roman" w:cs="Times New Roman"/>
          <w:lang w:val="en-CA"/>
        </w:rPr>
        <w:t>the principle of</w:t>
      </w:r>
      <w:r w:rsidR="00A61DB6" w:rsidRPr="00CC5771">
        <w:rPr>
          <w:rFonts w:ascii="Times New Roman" w:hAnsi="Times New Roman" w:cs="Times New Roman"/>
          <w:lang w:val="en-CA"/>
        </w:rPr>
        <w:t xml:space="preserve"> </w:t>
      </w:r>
      <w:r w:rsidR="006A7BBD" w:rsidRPr="00CC5771">
        <w:rPr>
          <w:rFonts w:ascii="Times New Roman" w:hAnsi="Times New Roman" w:cs="Times New Roman"/>
          <w:lang w:val="en-CA"/>
        </w:rPr>
        <w:t xml:space="preserve">anti-discrimination finds expression in a variety of legal instruments, including the equality rights </w:t>
      </w:r>
      <w:r w:rsidR="00276D9D" w:rsidRPr="00CC5771">
        <w:rPr>
          <w:rFonts w:ascii="Times New Roman" w:hAnsi="Times New Roman" w:cs="Times New Roman"/>
          <w:lang w:val="en-CA"/>
        </w:rPr>
        <w:t>provision of the</w:t>
      </w:r>
      <w:r w:rsidR="006A7BBD" w:rsidRPr="00CC5771">
        <w:rPr>
          <w:rFonts w:ascii="Times New Roman" w:hAnsi="Times New Roman" w:cs="Times New Roman"/>
          <w:lang w:val="en-CA"/>
        </w:rPr>
        <w:t xml:space="preserve"> </w:t>
      </w:r>
      <w:r w:rsidR="006A7BBD" w:rsidRPr="00CC5771">
        <w:rPr>
          <w:rFonts w:ascii="Times New Roman" w:hAnsi="Times New Roman" w:cs="Times New Roman"/>
          <w:i/>
          <w:lang w:val="en-CA"/>
        </w:rPr>
        <w:t>Canadian Charter of Rights and Freedoms</w:t>
      </w:r>
      <w:r w:rsidR="00AC734E" w:rsidRPr="00CC5771">
        <w:rPr>
          <w:rFonts w:ascii="Times New Roman" w:hAnsi="Times New Roman" w:cs="Times New Roman"/>
          <w:lang w:val="en-CA"/>
        </w:rPr>
        <w:t xml:space="preserve"> guaranteeing</w:t>
      </w:r>
      <w:r w:rsidR="006A7BBD" w:rsidRPr="00CC5771">
        <w:rPr>
          <w:rFonts w:ascii="Times New Roman" w:hAnsi="Times New Roman" w:cs="Times New Roman"/>
          <w:lang w:val="en-CA"/>
        </w:rPr>
        <w:t xml:space="preserve"> equal protection and benefit of the law “without discrimination based on race, national or ethnic origin, colour, religion, sex, age o</w:t>
      </w:r>
      <w:r w:rsidR="00276D9D" w:rsidRPr="00CC5771">
        <w:rPr>
          <w:rFonts w:ascii="Times New Roman" w:hAnsi="Times New Roman" w:cs="Times New Roman"/>
          <w:lang w:val="en-CA"/>
        </w:rPr>
        <w:t>r mental or physical disability</w:t>
      </w:r>
      <w:r w:rsidR="009C3F79">
        <w:rPr>
          <w:rFonts w:ascii="Times New Roman" w:hAnsi="Times New Roman" w:cs="Times New Roman"/>
          <w:lang w:val="en-CA"/>
        </w:rPr>
        <w:t>,”</w:t>
      </w:r>
      <w:r w:rsidR="006A7BBD" w:rsidRPr="00CC5771">
        <w:rPr>
          <w:rStyle w:val="FootnoteReference"/>
          <w:rFonts w:ascii="Times New Roman" w:hAnsi="Times New Roman" w:cs="Times New Roman"/>
          <w:lang w:val="en-CA"/>
        </w:rPr>
        <w:footnoteReference w:id="16"/>
      </w:r>
      <w:r w:rsidR="003E12D3" w:rsidRPr="00CC5771">
        <w:rPr>
          <w:rFonts w:ascii="Times New Roman" w:hAnsi="Times New Roman" w:cs="Times New Roman"/>
          <w:lang w:val="en-CA"/>
        </w:rPr>
        <w:t xml:space="preserve"> along with </w:t>
      </w:r>
      <w:r w:rsidR="00276D9D" w:rsidRPr="00CC5771">
        <w:rPr>
          <w:rFonts w:ascii="Times New Roman" w:hAnsi="Times New Roman" w:cs="Times New Roman"/>
          <w:lang w:val="en-CA"/>
        </w:rPr>
        <w:t>federal, provincial, and territorial human rights codes.</w:t>
      </w:r>
      <w:r w:rsidR="007D3CAE" w:rsidRPr="00CC5771">
        <w:rPr>
          <w:rFonts w:ascii="Times New Roman" w:hAnsi="Times New Roman" w:cs="Times New Roman"/>
          <w:lang w:val="en-CA"/>
        </w:rPr>
        <w:t xml:space="preserve"> </w:t>
      </w:r>
      <w:r w:rsidR="00340235" w:rsidRPr="00CC5771">
        <w:rPr>
          <w:rFonts w:ascii="Times New Roman" w:hAnsi="Times New Roman" w:cs="Times New Roman"/>
          <w:lang w:val="en-CA"/>
        </w:rPr>
        <w:t>The</w:t>
      </w:r>
      <w:r w:rsidR="007D3CAE" w:rsidRPr="00CC5771">
        <w:rPr>
          <w:rFonts w:ascii="Times New Roman" w:hAnsi="Times New Roman" w:cs="Times New Roman"/>
          <w:lang w:val="en-CA"/>
        </w:rPr>
        <w:t xml:space="preserve"> Ontario</w:t>
      </w:r>
      <w:r w:rsidR="007D3CAE" w:rsidRPr="00CC5771">
        <w:rPr>
          <w:rFonts w:ascii="Times New Roman" w:hAnsi="Times New Roman" w:cs="Times New Roman"/>
          <w:i/>
          <w:lang w:val="en-CA"/>
        </w:rPr>
        <w:t xml:space="preserve"> Human Rights Code</w:t>
      </w:r>
      <w:r w:rsidR="007D3CAE" w:rsidRPr="00CC5771">
        <w:rPr>
          <w:rFonts w:ascii="Times New Roman" w:hAnsi="Times New Roman" w:cs="Times New Roman"/>
          <w:lang w:val="en-CA"/>
        </w:rPr>
        <w:t>,</w:t>
      </w:r>
      <w:r w:rsidR="003E12D3" w:rsidRPr="00CC5771">
        <w:rPr>
          <w:rStyle w:val="FootnoteReference"/>
          <w:rFonts w:ascii="Times New Roman" w:hAnsi="Times New Roman" w:cs="Times New Roman"/>
          <w:lang w:val="en-CA"/>
        </w:rPr>
        <w:footnoteReference w:id="17"/>
      </w:r>
      <w:r w:rsidR="007D3CAE" w:rsidRPr="00CC5771">
        <w:rPr>
          <w:rFonts w:ascii="Times New Roman" w:hAnsi="Times New Roman" w:cs="Times New Roman"/>
          <w:lang w:val="en-CA"/>
        </w:rPr>
        <w:t xml:space="preserve"> </w:t>
      </w:r>
      <w:r w:rsidR="00340235" w:rsidRPr="00CC5771">
        <w:rPr>
          <w:rFonts w:ascii="Times New Roman" w:hAnsi="Times New Roman" w:cs="Times New Roman"/>
          <w:lang w:val="en-CA"/>
        </w:rPr>
        <w:t>for example,</w:t>
      </w:r>
      <w:r w:rsidR="00A61DB6" w:rsidRPr="00CC5771">
        <w:rPr>
          <w:rFonts w:ascii="Times New Roman" w:hAnsi="Times New Roman" w:cs="Times New Roman"/>
          <w:lang w:val="en-CA"/>
        </w:rPr>
        <w:t xml:space="preserve"> </w:t>
      </w:r>
      <w:r w:rsidR="00340235" w:rsidRPr="00CC5771">
        <w:rPr>
          <w:rFonts w:ascii="Times New Roman" w:hAnsi="Times New Roman" w:cs="Times New Roman"/>
          <w:lang w:val="en-CA"/>
        </w:rPr>
        <w:t xml:space="preserve">describes </w:t>
      </w:r>
      <w:r w:rsidR="007D3CAE" w:rsidRPr="00CC5771">
        <w:rPr>
          <w:rFonts w:ascii="Times New Roman" w:hAnsi="Times New Roman" w:cs="Times New Roman"/>
          <w:lang w:val="en-CA"/>
        </w:rPr>
        <w:t xml:space="preserve">its underlying purpose </w:t>
      </w:r>
      <w:r w:rsidR="003E12D3" w:rsidRPr="00CC5771">
        <w:rPr>
          <w:rFonts w:ascii="Times New Roman" w:hAnsi="Times New Roman" w:cs="Times New Roman"/>
          <w:lang w:val="en-CA"/>
        </w:rPr>
        <w:t xml:space="preserve">as being to “recognize the dignity and worth of every person and to provide for equal rights and opportunities without discrimination that is contrary to law, and having as its aim the creation of a climate of understanding and mutual respect for the dignity and worth of </w:t>
      </w:r>
      <w:r w:rsidR="003E12D3" w:rsidRPr="00CC5771">
        <w:rPr>
          <w:rFonts w:ascii="Times New Roman" w:hAnsi="Times New Roman" w:cs="Times New Roman"/>
          <w:lang w:val="en-CA"/>
        </w:rPr>
        <w:lastRenderedPageBreak/>
        <w:t>each person so that each person feels a part of the community and able to contribute fully to the development and well-being of the community and the Province</w:t>
      </w:r>
      <w:r w:rsidR="009C3F79">
        <w:rPr>
          <w:rFonts w:ascii="Times New Roman" w:hAnsi="Times New Roman" w:cs="Times New Roman"/>
          <w:lang w:val="en-CA"/>
        </w:rPr>
        <w:t>.”</w:t>
      </w:r>
      <w:r w:rsidR="003E12D3" w:rsidRPr="00CC5771">
        <w:rPr>
          <w:rStyle w:val="FootnoteReference"/>
          <w:rFonts w:ascii="Times New Roman" w:hAnsi="Times New Roman" w:cs="Times New Roman"/>
          <w:lang w:val="en-CA"/>
        </w:rPr>
        <w:footnoteReference w:id="18"/>
      </w:r>
      <w:r w:rsidR="00A61DB6" w:rsidRPr="00CC5771">
        <w:rPr>
          <w:rFonts w:ascii="Times New Roman" w:hAnsi="Times New Roman" w:cs="Times New Roman"/>
          <w:lang w:val="en-CA"/>
        </w:rPr>
        <w:t xml:space="preserve"> In an effort to achieve this goal, the Ontario</w:t>
      </w:r>
      <w:r w:rsidR="00A61DB6" w:rsidRPr="00CC5771">
        <w:rPr>
          <w:rFonts w:ascii="Times New Roman" w:hAnsi="Times New Roman" w:cs="Times New Roman"/>
          <w:i/>
          <w:lang w:val="en-CA"/>
        </w:rPr>
        <w:t xml:space="preserve"> Human Rights Code</w:t>
      </w:r>
      <w:r w:rsidR="00A61DB6" w:rsidRPr="00CC5771">
        <w:rPr>
          <w:rFonts w:ascii="Times New Roman" w:hAnsi="Times New Roman" w:cs="Times New Roman"/>
          <w:lang w:val="en-CA"/>
        </w:rPr>
        <w:t xml:space="preserve"> prohibits discrimination </w:t>
      </w:r>
      <w:r w:rsidR="003E5542" w:rsidRPr="00CC5771">
        <w:rPr>
          <w:rFonts w:ascii="Times New Roman" w:hAnsi="Times New Roman" w:cs="Times New Roman"/>
          <w:lang w:val="en-CA"/>
        </w:rPr>
        <w:t>and harassment on the basis of</w:t>
      </w:r>
      <w:r w:rsidR="000D72A4">
        <w:rPr>
          <w:rFonts w:ascii="Times New Roman" w:hAnsi="Times New Roman" w:cs="Times New Roman"/>
          <w:lang w:val="en-CA"/>
        </w:rPr>
        <w:t xml:space="preserve"> </w:t>
      </w:r>
      <w:r w:rsidR="003E5542" w:rsidRPr="00CC5771">
        <w:rPr>
          <w:rFonts w:ascii="Times New Roman" w:hAnsi="Times New Roman" w:cs="Times New Roman"/>
          <w:lang w:val="en-CA"/>
        </w:rPr>
        <w:t>a series of grounds</w:t>
      </w:r>
      <w:r w:rsidR="00A61DB6" w:rsidRPr="00CC5771">
        <w:rPr>
          <w:rFonts w:ascii="Times New Roman" w:hAnsi="Times New Roman" w:cs="Times New Roman"/>
          <w:lang w:val="en-CA"/>
        </w:rPr>
        <w:t>.</w:t>
      </w:r>
      <w:r w:rsidR="00831AEC" w:rsidRPr="00CC5771">
        <w:rPr>
          <w:rFonts w:ascii="Times New Roman" w:hAnsi="Times New Roman" w:cs="Times New Roman"/>
          <w:lang w:val="en-CA"/>
        </w:rPr>
        <w:t xml:space="preserve"> </w:t>
      </w:r>
      <w:r w:rsidR="000933F7" w:rsidRPr="00CC5771">
        <w:rPr>
          <w:rFonts w:ascii="Times New Roman" w:hAnsi="Times New Roman" w:cs="Times New Roman"/>
          <w:lang w:val="en-CA"/>
        </w:rPr>
        <w:t>Since</w:t>
      </w:r>
      <w:r w:rsidR="00831AEC" w:rsidRPr="00CC5771">
        <w:rPr>
          <w:rFonts w:ascii="Times New Roman" w:hAnsi="Times New Roman" w:cs="Times New Roman"/>
          <w:lang w:val="en-CA"/>
        </w:rPr>
        <w:t xml:space="preserve"> its inception in 1961, the </w:t>
      </w:r>
      <w:r w:rsidR="0078214F" w:rsidRPr="00CC5771">
        <w:rPr>
          <w:rFonts w:ascii="Times New Roman" w:hAnsi="Times New Roman" w:cs="Times New Roman"/>
          <w:lang w:val="en-CA"/>
        </w:rPr>
        <w:t>Ontario</w:t>
      </w:r>
      <w:r w:rsidR="0078214F" w:rsidRPr="00CC5771">
        <w:rPr>
          <w:rFonts w:ascii="Times New Roman" w:hAnsi="Times New Roman" w:cs="Times New Roman"/>
          <w:i/>
          <w:lang w:val="en-CA"/>
        </w:rPr>
        <w:t xml:space="preserve"> Human Rights Code</w:t>
      </w:r>
      <w:r w:rsidR="00831AEC" w:rsidRPr="00CC5771">
        <w:rPr>
          <w:rFonts w:ascii="Times New Roman" w:hAnsi="Times New Roman" w:cs="Times New Roman"/>
          <w:lang w:val="en-CA"/>
        </w:rPr>
        <w:t xml:space="preserve"> has been amended </w:t>
      </w:r>
      <w:r w:rsidR="00A63A3C" w:rsidRPr="00CC5771">
        <w:rPr>
          <w:rFonts w:ascii="Times New Roman" w:hAnsi="Times New Roman" w:cs="Times New Roman"/>
          <w:lang w:val="en-CA"/>
        </w:rPr>
        <w:t xml:space="preserve">over time </w:t>
      </w:r>
      <w:r w:rsidR="00831AEC" w:rsidRPr="00CC5771">
        <w:rPr>
          <w:rFonts w:ascii="Times New Roman" w:hAnsi="Times New Roman" w:cs="Times New Roman"/>
          <w:lang w:val="en-CA"/>
        </w:rPr>
        <w:t>to add new grounds, including</w:t>
      </w:r>
      <w:r w:rsidR="000D04D8" w:rsidRPr="00CC5771">
        <w:rPr>
          <w:rFonts w:ascii="Times New Roman" w:hAnsi="Times New Roman" w:cs="Times New Roman"/>
          <w:lang w:val="en-CA"/>
        </w:rPr>
        <w:t xml:space="preserve"> “sex” in 1972,</w:t>
      </w:r>
      <w:r w:rsidR="00F54F22" w:rsidRPr="00CC5771">
        <w:rPr>
          <w:rStyle w:val="FootnoteReference"/>
          <w:rFonts w:ascii="Times New Roman" w:hAnsi="Times New Roman" w:cs="Times New Roman"/>
          <w:lang w:val="en-CA"/>
        </w:rPr>
        <w:footnoteReference w:id="19"/>
      </w:r>
      <w:r w:rsidR="00831AEC" w:rsidRPr="00CC5771">
        <w:rPr>
          <w:rFonts w:ascii="Times New Roman" w:hAnsi="Times New Roman" w:cs="Times New Roman"/>
          <w:lang w:val="en-CA"/>
        </w:rPr>
        <w:t xml:space="preserve"> “sexual orientation” in 1986</w:t>
      </w:r>
      <w:r w:rsidR="000C28B8" w:rsidRPr="00CC5771">
        <w:rPr>
          <w:rFonts w:ascii="Times New Roman" w:hAnsi="Times New Roman" w:cs="Times New Roman"/>
          <w:lang w:val="en-CA"/>
        </w:rPr>
        <w:t>,</w:t>
      </w:r>
      <w:r w:rsidR="0050421B" w:rsidRPr="00CC5771">
        <w:rPr>
          <w:rStyle w:val="FootnoteReference"/>
          <w:rFonts w:ascii="Times New Roman" w:hAnsi="Times New Roman" w:cs="Times New Roman"/>
          <w:lang w:val="en-CA"/>
        </w:rPr>
        <w:footnoteReference w:id="20"/>
      </w:r>
      <w:r w:rsidR="00831AEC" w:rsidRPr="00CC5771">
        <w:rPr>
          <w:rFonts w:ascii="Times New Roman" w:hAnsi="Times New Roman" w:cs="Times New Roman"/>
          <w:lang w:val="en-CA"/>
        </w:rPr>
        <w:t xml:space="preserve"> and</w:t>
      </w:r>
      <w:r w:rsidR="000C28B8" w:rsidRPr="00CC5771">
        <w:rPr>
          <w:rFonts w:ascii="Times New Roman" w:hAnsi="Times New Roman" w:cs="Times New Roman"/>
          <w:lang w:val="en-CA"/>
        </w:rPr>
        <w:t xml:space="preserve"> </w:t>
      </w:r>
      <w:r w:rsidR="00831AEC" w:rsidRPr="00CC5771">
        <w:rPr>
          <w:rFonts w:ascii="Times New Roman" w:hAnsi="Times New Roman" w:cs="Times New Roman"/>
          <w:lang w:val="en-CA"/>
        </w:rPr>
        <w:t>“gender identity” and “gender expression” in 2012.</w:t>
      </w:r>
      <w:r w:rsidR="00A61DB6" w:rsidRPr="00CC5771">
        <w:rPr>
          <w:rStyle w:val="FootnoteReference"/>
          <w:rFonts w:ascii="Times New Roman" w:hAnsi="Times New Roman" w:cs="Times New Roman"/>
          <w:lang w:val="en-CA"/>
        </w:rPr>
        <w:footnoteReference w:id="21"/>
      </w:r>
      <w:r w:rsidR="000D72A4">
        <w:rPr>
          <w:rFonts w:ascii="Times New Roman" w:hAnsi="Times New Roman" w:cs="Times New Roman"/>
          <w:lang w:val="en-CA"/>
        </w:rPr>
        <w:t xml:space="preserve"> </w:t>
      </w:r>
    </w:p>
    <w:p w14:paraId="5384C461" w14:textId="24B9C84B" w:rsidR="007D3CAE" w:rsidRPr="00CC5771" w:rsidRDefault="007D3CAE"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In response</w:t>
      </w:r>
      <w:r w:rsidR="00871304" w:rsidRPr="00CC5771">
        <w:rPr>
          <w:rFonts w:ascii="Times New Roman" w:hAnsi="Times New Roman" w:cs="Times New Roman"/>
          <w:lang w:val="en-CA"/>
        </w:rPr>
        <w:t xml:space="preserve"> to this </w:t>
      </w:r>
      <w:r w:rsidR="000933F7" w:rsidRPr="00CC5771">
        <w:rPr>
          <w:rFonts w:ascii="Times New Roman" w:hAnsi="Times New Roman" w:cs="Times New Roman"/>
          <w:lang w:val="en-CA"/>
        </w:rPr>
        <w:t>dynamic</w:t>
      </w:r>
      <w:r w:rsidR="0078214F" w:rsidRPr="00CC5771">
        <w:rPr>
          <w:rFonts w:ascii="Times New Roman" w:hAnsi="Times New Roman" w:cs="Times New Roman"/>
          <w:lang w:val="en-CA"/>
        </w:rPr>
        <w:t xml:space="preserve"> of adding explicit anti-discrimination protections </w:t>
      </w:r>
      <w:r w:rsidR="00103D85" w:rsidRPr="00CC5771">
        <w:rPr>
          <w:rFonts w:ascii="Times New Roman" w:hAnsi="Times New Roman" w:cs="Times New Roman"/>
          <w:lang w:val="en-CA"/>
        </w:rPr>
        <w:t>on the basis of “gender identity” and “gender expression</w:t>
      </w:r>
      <w:r w:rsidR="009C3F79">
        <w:rPr>
          <w:rFonts w:ascii="Times New Roman" w:hAnsi="Times New Roman" w:cs="Times New Roman"/>
          <w:lang w:val="en-CA"/>
        </w:rPr>
        <w:t>,”</w:t>
      </w:r>
      <w:r w:rsidR="008B4952" w:rsidRPr="00CC5771">
        <w:rPr>
          <w:rFonts w:ascii="Times New Roman" w:hAnsi="Times New Roman" w:cs="Times New Roman"/>
          <w:lang w:val="en-CA"/>
        </w:rPr>
        <w:t xml:space="preserve"> a dynamic</w:t>
      </w:r>
      <w:r w:rsidR="00A04F90" w:rsidRPr="00CC5771">
        <w:rPr>
          <w:rFonts w:ascii="Times New Roman" w:hAnsi="Times New Roman" w:cs="Times New Roman"/>
          <w:lang w:val="en-CA"/>
        </w:rPr>
        <w:t xml:space="preserve"> </w:t>
      </w:r>
      <w:r w:rsidR="00871304" w:rsidRPr="00CC5771">
        <w:rPr>
          <w:rFonts w:ascii="Times New Roman" w:hAnsi="Times New Roman" w:cs="Times New Roman"/>
          <w:lang w:val="en-CA"/>
        </w:rPr>
        <w:t>being mirrored across the Anglo-American world</w:t>
      </w:r>
      <w:r w:rsidRPr="00CC5771">
        <w:rPr>
          <w:rFonts w:ascii="Times New Roman" w:hAnsi="Times New Roman" w:cs="Times New Roman"/>
          <w:lang w:val="en-CA"/>
        </w:rPr>
        <w:t>,</w:t>
      </w:r>
      <w:r w:rsidR="00131463" w:rsidRPr="00CC5771">
        <w:rPr>
          <w:rStyle w:val="FootnoteReference"/>
          <w:rFonts w:ascii="Times New Roman" w:hAnsi="Times New Roman" w:cs="Times New Roman"/>
          <w:lang w:val="en-CA"/>
        </w:rPr>
        <w:footnoteReference w:id="22"/>
      </w:r>
      <w:r w:rsidRPr="00CC5771">
        <w:rPr>
          <w:rFonts w:ascii="Times New Roman" w:hAnsi="Times New Roman" w:cs="Times New Roman"/>
          <w:lang w:val="en-CA"/>
        </w:rPr>
        <w:t xml:space="preserve"> a </w:t>
      </w:r>
      <w:r w:rsidR="00871304" w:rsidRPr="00CC5771">
        <w:rPr>
          <w:rFonts w:ascii="Times New Roman" w:hAnsi="Times New Roman" w:cs="Times New Roman"/>
          <w:lang w:val="en-CA"/>
        </w:rPr>
        <w:t>burgeoning</w:t>
      </w:r>
      <w:r w:rsidRPr="00CC5771">
        <w:rPr>
          <w:rFonts w:ascii="Times New Roman" w:hAnsi="Times New Roman" w:cs="Times New Roman"/>
          <w:lang w:val="en-CA"/>
        </w:rPr>
        <w:t xml:space="preserve"> body of</w:t>
      </w:r>
      <w:r w:rsidR="007413CF" w:rsidRPr="00CC5771">
        <w:rPr>
          <w:rFonts w:ascii="Times New Roman" w:hAnsi="Times New Roman" w:cs="Times New Roman"/>
          <w:lang w:val="en-CA"/>
        </w:rPr>
        <w:t xml:space="preserve"> trans legal</w:t>
      </w:r>
      <w:r w:rsidRPr="00CC5771">
        <w:rPr>
          <w:rFonts w:ascii="Times New Roman" w:hAnsi="Times New Roman" w:cs="Times New Roman"/>
          <w:lang w:val="en-CA"/>
        </w:rPr>
        <w:t xml:space="preserve"> scholarship has posed normative questions about whether this </w:t>
      </w:r>
      <w:r w:rsidR="000C28B8" w:rsidRPr="00CC5771">
        <w:rPr>
          <w:rFonts w:ascii="Times New Roman" w:hAnsi="Times New Roman" w:cs="Times New Roman"/>
          <w:lang w:val="en-CA"/>
        </w:rPr>
        <w:t>development</w:t>
      </w:r>
      <w:r w:rsidRPr="00CC5771">
        <w:rPr>
          <w:rFonts w:ascii="Times New Roman" w:hAnsi="Times New Roman" w:cs="Times New Roman"/>
          <w:lang w:val="en-CA"/>
        </w:rPr>
        <w:t xml:space="preserve"> </w:t>
      </w:r>
      <w:r w:rsidR="0078214F" w:rsidRPr="00CC5771">
        <w:rPr>
          <w:rFonts w:ascii="Times New Roman" w:hAnsi="Times New Roman" w:cs="Times New Roman"/>
          <w:lang w:val="en-CA"/>
        </w:rPr>
        <w:t xml:space="preserve">is </w:t>
      </w:r>
      <w:r w:rsidR="000933F7" w:rsidRPr="00CC5771">
        <w:rPr>
          <w:rFonts w:ascii="Times New Roman" w:hAnsi="Times New Roman" w:cs="Times New Roman"/>
          <w:lang w:val="en-CA"/>
        </w:rPr>
        <w:t>“good” or “bad.”</w:t>
      </w:r>
      <w:r w:rsidR="0050421B" w:rsidRPr="00CC5771">
        <w:rPr>
          <w:rFonts w:ascii="Times New Roman" w:hAnsi="Times New Roman" w:cs="Times New Roman"/>
          <w:lang w:val="en-CA"/>
        </w:rPr>
        <w:t xml:space="preserve"> This scholarship </w:t>
      </w:r>
      <w:r w:rsidR="004333F9" w:rsidRPr="00CC5771">
        <w:rPr>
          <w:rFonts w:ascii="Times New Roman" w:hAnsi="Times New Roman" w:cs="Times New Roman"/>
          <w:lang w:val="en-CA"/>
        </w:rPr>
        <w:t>has extended</w:t>
      </w:r>
      <w:r w:rsidR="0050421B" w:rsidRPr="00CC5771">
        <w:rPr>
          <w:rFonts w:ascii="Times New Roman" w:hAnsi="Times New Roman" w:cs="Times New Roman"/>
          <w:lang w:val="en-CA"/>
        </w:rPr>
        <w:t xml:space="preserve"> </w:t>
      </w:r>
      <w:r w:rsidR="00634827" w:rsidRPr="00CC5771">
        <w:rPr>
          <w:rFonts w:ascii="Times New Roman" w:hAnsi="Times New Roman" w:cs="Times New Roman"/>
          <w:lang w:val="en-CA"/>
        </w:rPr>
        <w:t>well-established</w:t>
      </w:r>
      <w:r w:rsidR="0050421B" w:rsidRPr="00CC5771">
        <w:rPr>
          <w:rFonts w:ascii="Times New Roman" w:hAnsi="Times New Roman" w:cs="Times New Roman"/>
          <w:lang w:val="en-CA"/>
        </w:rPr>
        <w:t xml:space="preserve"> debates in the field of human rights, </w:t>
      </w:r>
      <w:r w:rsidR="00AD352B" w:rsidRPr="00CC5771">
        <w:rPr>
          <w:rFonts w:ascii="Times New Roman" w:hAnsi="Times New Roman" w:cs="Times New Roman"/>
          <w:lang w:val="en-CA"/>
        </w:rPr>
        <w:t>w</w:t>
      </w:r>
      <w:r w:rsidR="0050421B" w:rsidRPr="00CC5771">
        <w:rPr>
          <w:rFonts w:ascii="Times New Roman" w:hAnsi="Times New Roman" w:cs="Times New Roman"/>
          <w:lang w:val="en-CA"/>
        </w:rPr>
        <w:t xml:space="preserve">hich has long viewed legal recognition as a site of </w:t>
      </w:r>
      <w:r w:rsidR="00F8095E" w:rsidRPr="00CC5771">
        <w:rPr>
          <w:rFonts w:ascii="Times New Roman" w:hAnsi="Times New Roman" w:cs="Times New Roman"/>
          <w:lang w:val="en-CA"/>
        </w:rPr>
        <w:t>critique</w:t>
      </w:r>
      <w:r w:rsidR="0050421B" w:rsidRPr="00CC5771">
        <w:rPr>
          <w:rFonts w:ascii="Times New Roman" w:hAnsi="Times New Roman" w:cs="Times New Roman"/>
          <w:lang w:val="en-CA"/>
        </w:rPr>
        <w:t>.</w:t>
      </w:r>
      <w:r w:rsidR="0050421B" w:rsidRPr="00CC5771">
        <w:rPr>
          <w:rStyle w:val="FootnoteReference"/>
          <w:rFonts w:ascii="Times New Roman" w:hAnsi="Times New Roman" w:cs="Times New Roman"/>
          <w:lang w:val="en-CA"/>
        </w:rPr>
        <w:footnoteReference w:id="23"/>
      </w:r>
      <w:r w:rsidR="000933F7" w:rsidRPr="00CC5771">
        <w:rPr>
          <w:rFonts w:ascii="Times New Roman" w:hAnsi="Times New Roman" w:cs="Times New Roman"/>
          <w:lang w:val="en-CA"/>
        </w:rPr>
        <w:t xml:space="preserve"> Some</w:t>
      </w:r>
      <w:r w:rsidR="0050421B" w:rsidRPr="00CC5771">
        <w:rPr>
          <w:rFonts w:ascii="Times New Roman" w:hAnsi="Times New Roman" w:cs="Times New Roman"/>
          <w:lang w:val="en-CA"/>
        </w:rPr>
        <w:t xml:space="preserve"> trans legal studies </w:t>
      </w:r>
      <w:r w:rsidR="007413CF" w:rsidRPr="00CC5771">
        <w:rPr>
          <w:rFonts w:ascii="Times New Roman" w:hAnsi="Times New Roman" w:cs="Times New Roman"/>
          <w:lang w:val="en-CA"/>
        </w:rPr>
        <w:t>scholar</w:t>
      </w:r>
      <w:r w:rsidR="0050421B" w:rsidRPr="00CC5771">
        <w:rPr>
          <w:rFonts w:ascii="Times New Roman" w:hAnsi="Times New Roman" w:cs="Times New Roman"/>
          <w:lang w:val="en-CA"/>
        </w:rPr>
        <w:t>s</w:t>
      </w:r>
      <w:r w:rsidR="0062150A" w:rsidRPr="00CC5771">
        <w:rPr>
          <w:rFonts w:ascii="Times New Roman" w:hAnsi="Times New Roman" w:cs="Times New Roman"/>
          <w:lang w:val="en-CA"/>
        </w:rPr>
        <w:t xml:space="preserve"> </w:t>
      </w:r>
      <w:r w:rsidRPr="00CC5771">
        <w:rPr>
          <w:rFonts w:ascii="Times New Roman" w:hAnsi="Times New Roman" w:cs="Times New Roman"/>
          <w:lang w:val="en-CA"/>
        </w:rPr>
        <w:t xml:space="preserve">have expressed optimism about the utility of using human rights frameworks. </w:t>
      </w:r>
      <w:r w:rsidR="000933F7" w:rsidRPr="00CC5771">
        <w:rPr>
          <w:rFonts w:ascii="Times New Roman" w:hAnsi="Times New Roman" w:cs="Times New Roman"/>
          <w:lang w:val="en-CA"/>
        </w:rPr>
        <w:t>Others</w:t>
      </w:r>
      <w:r w:rsidRPr="00CC5771">
        <w:rPr>
          <w:rFonts w:ascii="Times New Roman" w:hAnsi="Times New Roman" w:cs="Times New Roman"/>
          <w:lang w:val="en-CA"/>
        </w:rPr>
        <w:t xml:space="preserve"> have criticized the push for explicit anti-discrimination protections, arguing that legal reforms are largely symbolic gestures that are unlikely to improve the material conditions of trans</w:t>
      </w:r>
      <w:r w:rsidR="00A04F90" w:rsidRPr="00CC5771">
        <w:rPr>
          <w:rFonts w:ascii="Times New Roman" w:hAnsi="Times New Roman" w:cs="Times New Roman"/>
          <w:lang w:val="en-CA"/>
        </w:rPr>
        <w:t>gender</w:t>
      </w:r>
      <w:r w:rsidRPr="00CC5771">
        <w:rPr>
          <w:rFonts w:ascii="Times New Roman" w:hAnsi="Times New Roman" w:cs="Times New Roman"/>
          <w:lang w:val="en-CA"/>
        </w:rPr>
        <w:t xml:space="preserve"> and/or non-binary people</w:t>
      </w:r>
      <w:r w:rsidR="00871304" w:rsidRPr="00CC5771">
        <w:rPr>
          <w:rFonts w:ascii="Times New Roman" w:hAnsi="Times New Roman" w:cs="Times New Roman"/>
          <w:lang w:val="en-CA"/>
        </w:rPr>
        <w:t xml:space="preserve">, particularly for those located at multiple axes of </w:t>
      </w:r>
      <w:r w:rsidR="00131463" w:rsidRPr="00CC5771">
        <w:rPr>
          <w:rFonts w:ascii="Times New Roman" w:hAnsi="Times New Roman" w:cs="Times New Roman"/>
          <w:lang w:val="en-CA"/>
        </w:rPr>
        <w:t>oppression</w:t>
      </w:r>
      <w:r w:rsidRPr="00CC5771">
        <w:rPr>
          <w:rFonts w:ascii="Times New Roman" w:hAnsi="Times New Roman" w:cs="Times New Roman"/>
          <w:lang w:val="en-CA"/>
        </w:rPr>
        <w:t xml:space="preserve">. </w:t>
      </w:r>
      <w:r w:rsidR="0062150A" w:rsidRPr="00CC5771">
        <w:rPr>
          <w:rFonts w:ascii="Times New Roman" w:hAnsi="Times New Roman" w:cs="Times New Roman"/>
          <w:lang w:val="en-CA"/>
        </w:rPr>
        <w:t xml:space="preserve">In a number of instances, however, </w:t>
      </w:r>
      <w:r w:rsidR="00B67F18" w:rsidRPr="00CC5771">
        <w:rPr>
          <w:rFonts w:ascii="Times New Roman" w:hAnsi="Times New Roman" w:cs="Times New Roman"/>
          <w:lang w:val="en-CA"/>
        </w:rPr>
        <w:t xml:space="preserve">writers </w:t>
      </w:r>
      <w:r w:rsidRPr="00CC5771">
        <w:rPr>
          <w:rFonts w:ascii="Times New Roman" w:hAnsi="Times New Roman" w:cs="Times New Roman"/>
          <w:lang w:val="en-CA"/>
        </w:rPr>
        <w:t xml:space="preserve">have modulated between </w:t>
      </w:r>
      <w:r w:rsidRPr="00CC5771">
        <w:rPr>
          <w:rFonts w:ascii="Times New Roman" w:hAnsi="Times New Roman" w:cs="Times New Roman"/>
          <w:lang w:val="en-CA"/>
        </w:rPr>
        <w:lastRenderedPageBreak/>
        <w:t xml:space="preserve">optimism and criticism, underscoring the importance of recognizing the limitations of human rights law protections, without abandoning such approaches altogether. What follows below is a brief sketch of </w:t>
      </w:r>
      <w:r w:rsidR="001343E5" w:rsidRPr="00CC5771">
        <w:rPr>
          <w:rFonts w:ascii="Times New Roman" w:hAnsi="Times New Roman" w:cs="Times New Roman"/>
          <w:lang w:val="en-CA"/>
        </w:rPr>
        <w:t>this emerging body of</w:t>
      </w:r>
      <w:r w:rsidR="00634827" w:rsidRPr="00CC5771">
        <w:rPr>
          <w:rFonts w:ascii="Times New Roman" w:hAnsi="Times New Roman" w:cs="Times New Roman"/>
          <w:lang w:val="en-CA"/>
        </w:rPr>
        <w:t xml:space="preserve"> </w:t>
      </w:r>
      <w:r w:rsidR="001343E5" w:rsidRPr="00CC5771">
        <w:rPr>
          <w:rFonts w:ascii="Times New Roman" w:hAnsi="Times New Roman" w:cs="Times New Roman"/>
          <w:lang w:val="en-CA"/>
        </w:rPr>
        <w:t xml:space="preserve">scholarship. </w:t>
      </w:r>
      <w:r w:rsidR="00103D85" w:rsidRPr="00CC5771">
        <w:rPr>
          <w:rFonts w:ascii="Times New Roman" w:hAnsi="Times New Roman" w:cs="Times New Roman"/>
          <w:lang w:val="en-CA"/>
        </w:rPr>
        <w:t xml:space="preserve">Ultimately, </w:t>
      </w:r>
      <w:r w:rsidR="007413CF" w:rsidRPr="00CC5771">
        <w:rPr>
          <w:rFonts w:ascii="Times New Roman" w:hAnsi="Times New Roman" w:cs="Times New Roman"/>
          <w:lang w:val="en-CA"/>
        </w:rPr>
        <w:t xml:space="preserve">our study aims to make a contribution to this </w:t>
      </w:r>
      <w:r w:rsidR="00A63A3C" w:rsidRPr="00CC5771">
        <w:rPr>
          <w:rFonts w:ascii="Times New Roman" w:hAnsi="Times New Roman" w:cs="Times New Roman"/>
          <w:lang w:val="en-CA"/>
        </w:rPr>
        <w:t>literature</w:t>
      </w:r>
      <w:r w:rsidR="007413CF" w:rsidRPr="00CC5771">
        <w:rPr>
          <w:rFonts w:ascii="Times New Roman" w:hAnsi="Times New Roman" w:cs="Times New Roman"/>
          <w:lang w:val="en-CA"/>
        </w:rPr>
        <w:t xml:space="preserve"> by empirically demonstrating the ways in which </w:t>
      </w:r>
      <w:r w:rsidR="00103D85" w:rsidRPr="00CC5771">
        <w:rPr>
          <w:rFonts w:ascii="Times New Roman" w:hAnsi="Times New Roman" w:cs="Times New Roman"/>
          <w:lang w:val="en-CA"/>
        </w:rPr>
        <w:t>human rights law</w:t>
      </w:r>
      <w:r w:rsidR="00A63A3C" w:rsidRPr="00CC5771">
        <w:rPr>
          <w:rFonts w:ascii="Times New Roman" w:hAnsi="Times New Roman" w:cs="Times New Roman"/>
          <w:lang w:val="en-CA"/>
        </w:rPr>
        <w:t xml:space="preserve"> reforms</w:t>
      </w:r>
      <w:r w:rsidR="00103D85" w:rsidRPr="00CC5771">
        <w:rPr>
          <w:rFonts w:ascii="Times New Roman" w:hAnsi="Times New Roman" w:cs="Times New Roman"/>
          <w:lang w:val="en-CA"/>
        </w:rPr>
        <w:t xml:space="preserve"> </w:t>
      </w:r>
      <w:r w:rsidR="007413CF" w:rsidRPr="00CC5771">
        <w:rPr>
          <w:rFonts w:ascii="Times New Roman" w:hAnsi="Times New Roman" w:cs="Times New Roman"/>
          <w:lang w:val="en-CA"/>
        </w:rPr>
        <w:t xml:space="preserve">might open up </w:t>
      </w:r>
      <w:r w:rsidR="00103D85" w:rsidRPr="00CC5771">
        <w:rPr>
          <w:rFonts w:ascii="Times New Roman" w:hAnsi="Times New Roman" w:cs="Times New Roman"/>
          <w:lang w:val="en-CA"/>
        </w:rPr>
        <w:t>space</w:t>
      </w:r>
      <w:r w:rsidR="00AD352B" w:rsidRPr="00CC5771">
        <w:rPr>
          <w:rFonts w:ascii="Times New Roman" w:hAnsi="Times New Roman" w:cs="Times New Roman"/>
          <w:lang w:val="en-CA"/>
        </w:rPr>
        <w:t xml:space="preserve"> for the emergence of norms that allow</w:t>
      </w:r>
      <w:r w:rsidR="00103D85" w:rsidRPr="00CC5771">
        <w:rPr>
          <w:rFonts w:ascii="Times New Roman" w:hAnsi="Times New Roman" w:cs="Times New Roman"/>
          <w:lang w:val="en-CA"/>
        </w:rPr>
        <w:t xml:space="preserve"> people to </w:t>
      </w:r>
      <w:r w:rsidR="00E74B9B" w:rsidRPr="00CC5771">
        <w:rPr>
          <w:rFonts w:ascii="Times New Roman" w:hAnsi="Times New Roman" w:cs="Times New Roman"/>
          <w:lang w:val="en-CA"/>
        </w:rPr>
        <w:t>do</w:t>
      </w:r>
      <w:r w:rsidR="00103D85" w:rsidRPr="00CC5771">
        <w:rPr>
          <w:rFonts w:ascii="Times New Roman" w:hAnsi="Times New Roman" w:cs="Times New Roman"/>
          <w:lang w:val="en-CA"/>
        </w:rPr>
        <w:t xml:space="preserve"> gender in a variety of ways</w:t>
      </w:r>
      <w:r w:rsidR="00AD352B" w:rsidRPr="00CC5771">
        <w:rPr>
          <w:rFonts w:ascii="Times New Roman" w:hAnsi="Times New Roman" w:cs="Times New Roman"/>
          <w:lang w:val="en-CA"/>
        </w:rPr>
        <w:t>.</w:t>
      </w:r>
    </w:p>
    <w:p w14:paraId="6A56FF6D" w14:textId="640473CB" w:rsidR="008664D7" w:rsidRPr="00461619" w:rsidRDefault="0058137A" w:rsidP="004D0F4E">
      <w:pPr>
        <w:spacing w:after="240" w:line="480" w:lineRule="auto"/>
        <w:rPr>
          <w:rFonts w:ascii="Times New Roman" w:hAnsi="Times New Roman" w:cs="Times New Roman"/>
          <w:b/>
          <w:lang w:val="en-CA"/>
        </w:rPr>
      </w:pPr>
      <w:r w:rsidRPr="00461619">
        <w:rPr>
          <w:rFonts w:ascii="Times New Roman" w:hAnsi="Times New Roman" w:cs="Times New Roman"/>
          <w:b/>
          <w:lang w:val="en-CA"/>
        </w:rPr>
        <w:t xml:space="preserve">1. </w:t>
      </w:r>
      <w:r w:rsidR="00DA6E62" w:rsidRPr="00461619">
        <w:rPr>
          <w:rFonts w:ascii="Times New Roman" w:hAnsi="Times New Roman" w:cs="Times New Roman"/>
          <w:b/>
          <w:lang w:val="en-CA"/>
        </w:rPr>
        <w:t xml:space="preserve">The </w:t>
      </w:r>
      <w:r w:rsidR="00D63906" w:rsidRPr="00D63906">
        <w:rPr>
          <w:rFonts w:ascii="Times New Roman" w:hAnsi="Times New Roman" w:cs="Times New Roman"/>
          <w:b/>
          <w:lang w:val="en-CA"/>
        </w:rPr>
        <w:t xml:space="preserve">Promise </w:t>
      </w:r>
      <w:r w:rsidR="00DA6E62" w:rsidRPr="00461619">
        <w:rPr>
          <w:rFonts w:ascii="Times New Roman" w:hAnsi="Times New Roman" w:cs="Times New Roman"/>
          <w:b/>
          <w:lang w:val="en-CA"/>
        </w:rPr>
        <w:t xml:space="preserve">of </w:t>
      </w:r>
      <w:r w:rsidR="00D63906" w:rsidRPr="00D63906">
        <w:rPr>
          <w:rFonts w:ascii="Times New Roman" w:hAnsi="Times New Roman" w:cs="Times New Roman"/>
          <w:b/>
          <w:lang w:val="en-CA"/>
        </w:rPr>
        <w:t xml:space="preserve">Human Rights Recognition </w:t>
      </w:r>
    </w:p>
    <w:p w14:paraId="7D55F346" w14:textId="3564E628" w:rsidR="00BA3226" w:rsidRPr="00CC5771" w:rsidRDefault="007413CF"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Human</w:t>
      </w:r>
      <w:r w:rsidR="00DA6E62" w:rsidRPr="00CC5771">
        <w:rPr>
          <w:rFonts w:ascii="Times New Roman" w:hAnsi="Times New Roman" w:cs="Times New Roman"/>
          <w:lang w:val="en-CA"/>
        </w:rPr>
        <w:t xml:space="preserve"> rights law aims to achieve symbolic</w:t>
      </w:r>
      <w:r w:rsidR="00D719D1" w:rsidRPr="00CC5771">
        <w:rPr>
          <w:rFonts w:ascii="Times New Roman" w:hAnsi="Times New Roman" w:cs="Times New Roman"/>
          <w:lang w:val="en-CA"/>
        </w:rPr>
        <w:t>, educative,</w:t>
      </w:r>
      <w:r w:rsidR="00DA6E62" w:rsidRPr="00CC5771">
        <w:rPr>
          <w:rFonts w:ascii="Times New Roman" w:hAnsi="Times New Roman" w:cs="Times New Roman"/>
          <w:lang w:val="en-CA"/>
        </w:rPr>
        <w:t xml:space="preserve"> and instrumental purposes. Symbolically, human rights </w:t>
      </w:r>
      <w:r w:rsidR="00701259" w:rsidRPr="00CC5771">
        <w:rPr>
          <w:rFonts w:ascii="Times New Roman" w:hAnsi="Times New Roman" w:cs="Times New Roman"/>
          <w:lang w:val="en-CA"/>
        </w:rPr>
        <w:t>protections seek</w:t>
      </w:r>
      <w:r w:rsidR="00DA6E62" w:rsidRPr="00CC5771">
        <w:rPr>
          <w:rFonts w:ascii="Times New Roman" w:hAnsi="Times New Roman" w:cs="Times New Roman"/>
          <w:lang w:val="en-CA"/>
        </w:rPr>
        <w:t xml:space="preserve"> to mark the formal </w:t>
      </w:r>
      <w:r w:rsidR="00D719D1" w:rsidRPr="00CC5771">
        <w:rPr>
          <w:rFonts w:ascii="Times New Roman" w:hAnsi="Times New Roman" w:cs="Times New Roman"/>
          <w:lang w:val="en-CA"/>
        </w:rPr>
        <w:t>social and legal</w:t>
      </w:r>
      <w:r w:rsidR="00DA6E62" w:rsidRPr="00CC5771">
        <w:rPr>
          <w:rFonts w:ascii="Times New Roman" w:hAnsi="Times New Roman" w:cs="Times New Roman"/>
          <w:lang w:val="en-CA"/>
        </w:rPr>
        <w:t xml:space="preserve"> recognition of individuals.</w:t>
      </w:r>
      <w:r w:rsidR="00DA6E62" w:rsidRPr="00CC5771">
        <w:rPr>
          <w:rStyle w:val="FootnoteReference"/>
          <w:rFonts w:ascii="Times New Roman" w:hAnsi="Times New Roman" w:cs="Times New Roman"/>
          <w:lang w:val="en-CA"/>
        </w:rPr>
        <w:footnoteReference w:id="24"/>
      </w:r>
      <w:r w:rsidR="00D719D1" w:rsidRPr="00CC5771">
        <w:rPr>
          <w:rFonts w:ascii="Times New Roman" w:hAnsi="Times New Roman" w:cs="Times New Roman"/>
          <w:lang w:val="en-CA"/>
        </w:rPr>
        <w:t xml:space="preserve"> In expressly enshrining </w:t>
      </w:r>
      <w:r w:rsidR="00F507F1" w:rsidRPr="00CC5771">
        <w:rPr>
          <w:rFonts w:ascii="Times New Roman" w:hAnsi="Times New Roman" w:cs="Times New Roman"/>
          <w:lang w:val="en-CA"/>
        </w:rPr>
        <w:t xml:space="preserve">specific </w:t>
      </w:r>
      <w:r w:rsidR="00D719D1" w:rsidRPr="00CC5771">
        <w:rPr>
          <w:rFonts w:ascii="Times New Roman" w:hAnsi="Times New Roman" w:cs="Times New Roman"/>
          <w:lang w:val="en-CA"/>
        </w:rPr>
        <w:t xml:space="preserve">identities in law, the state </w:t>
      </w:r>
      <w:r w:rsidR="00BA7DB5" w:rsidRPr="00CC5771">
        <w:rPr>
          <w:rFonts w:ascii="Times New Roman" w:hAnsi="Times New Roman" w:cs="Times New Roman"/>
          <w:lang w:val="en-CA"/>
        </w:rPr>
        <w:t>claims to engage</w:t>
      </w:r>
      <w:r w:rsidR="00D719D1" w:rsidRPr="00CC5771">
        <w:rPr>
          <w:rFonts w:ascii="Times New Roman" w:hAnsi="Times New Roman" w:cs="Times New Roman"/>
          <w:lang w:val="en-CA"/>
        </w:rPr>
        <w:t xml:space="preserve"> in </w:t>
      </w:r>
      <w:r w:rsidR="00BA7DB5" w:rsidRPr="00CC5771">
        <w:rPr>
          <w:rFonts w:ascii="Times New Roman" w:hAnsi="Times New Roman" w:cs="Times New Roman"/>
          <w:lang w:val="en-CA"/>
        </w:rPr>
        <w:t>a</w:t>
      </w:r>
      <w:r w:rsidR="00701259" w:rsidRPr="00CC5771">
        <w:rPr>
          <w:rFonts w:ascii="Times New Roman" w:hAnsi="Times New Roman" w:cs="Times New Roman"/>
          <w:lang w:val="en-CA"/>
        </w:rPr>
        <w:t xml:space="preserve"> politics of recognition</w:t>
      </w:r>
      <w:r w:rsidR="00D719D1" w:rsidRPr="00CC5771">
        <w:rPr>
          <w:rFonts w:ascii="Times New Roman" w:hAnsi="Times New Roman" w:cs="Times New Roman"/>
          <w:lang w:val="en-CA"/>
        </w:rPr>
        <w:t xml:space="preserve">. </w:t>
      </w:r>
      <w:r w:rsidR="00DA6E62" w:rsidRPr="00CC5771">
        <w:rPr>
          <w:rFonts w:ascii="Times New Roman" w:hAnsi="Times New Roman" w:cs="Times New Roman"/>
          <w:lang w:val="en-CA"/>
        </w:rPr>
        <w:t>As</w:t>
      </w:r>
      <w:r w:rsidR="00285732" w:rsidRPr="00CC5771">
        <w:rPr>
          <w:rFonts w:ascii="Times New Roman" w:hAnsi="Times New Roman" w:cs="Times New Roman"/>
          <w:lang w:val="en-CA"/>
        </w:rPr>
        <w:t xml:space="preserve"> critical race theorist</w:t>
      </w:r>
      <w:r w:rsidR="00DA6E62" w:rsidRPr="00CC5771">
        <w:rPr>
          <w:rFonts w:ascii="Times New Roman" w:hAnsi="Times New Roman" w:cs="Times New Roman"/>
          <w:lang w:val="en-CA"/>
        </w:rPr>
        <w:t xml:space="preserve"> </w:t>
      </w:r>
      <w:r w:rsidR="00285732" w:rsidRPr="00CC5771">
        <w:rPr>
          <w:rFonts w:ascii="Times New Roman" w:hAnsi="Times New Roman" w:cs="Times New Roman"/>
          <w:lang w:val="en-CA"/>
        </w:rPr>
        <w:t>Patricia Williams</w:t>
      </w:r>
      <w:r w:rsidR="00DA6E62" w:rsidRPr="00CC5771">
        <w:rPr>
          <w:rFonts w:ascii="Times New Roman" w:hAnsi="Times New Roman" w:cs="Times New Roman"/>
          <w:lang w:val="en-CA"/>
        </w:rPr>
        <w:t xml:space="preserve">, writing about </w:t>
      </w:r>
      <w:r w:rsidR="00047229" w:rsidRPr="00CC5771">
        <w:rPr>
          <w:rFonts w:ascii="Times New Roman" w:hAnsi="Times New Roman" w:cs="Times New Roman"/>
          <w:lang w:val="en-CA"/>
        </w:rPr>
        <w:t xml:space="preserve">the promise </w:t>
      </w:r>
      <w:r w:rsidR="00285732" w:rsidRPr="00CC5771">
        <w:rPr>
          <w:rFonts w:ascii="Times New Roman" w:hAnsi="Times New Roman" w:cs="Times New Roman"/>
          <w:lang w:val="en-CA"/>
        </w:rPr>
        <w:t>of</w:t>
      </w:r>
      <w:r w:rsidR="00DA6E62" w:rsidRPr="00CC5771">
        <w:rPr>
          <w:rFonts w:ascii="Times New Roman" w:hAnsi="Times New Roman" w:cs="Times New Roman"/>
          <w:lang w:val="en-CA"/>
        </w:rPr>
        <w:t xml:space="preserve"> human rights </w:t>
      </w:r>
      <w:r w:rsidR="00BA7DB5" w:rsidRPr="00CC5771">
        <w:rPr>
          <w:rFonts w:ascii="Times New Roman" w:hAnsi="Times New Roman" w:cs="Times New Roman"/>
          <w:lang w:val="en-CA"/>
        </w:rPr>
        <w:t>recognition</w:t>
      </w:r>
      <w:r w:rsidR="000C28B8" w:rsidRPr="00CC5771">
        <w:rPr>
          <w:rFonts w:ascii="Times New Roman" w:hAnsi="Times New Roman" w:cs="Times New Roman"/>
          <w:lang w:val="en-CA"/>
        </w:rPr>
        <w:t xml:space="preserve"> for people of colour</w:t>
      </w:r>
      <w:r w:rsidR="00285732" w:rsidRPr="00CC5771">
        <w:rPr>
          <w:rFonts w:ascii="Times New Roman" w:hAnsi="Times New Roman" w:cs="Times New Roman"/>
          <w:lang w:val="en-CA"/>
        </w:rPr>
        <w:t>, explains:</w:t>
      </w:r>
      <w:r w:rsidR="00DA6E62" w:rsidRPr="00CC5771">
        <w:rPr>
          <w:rFonts w:ascii="Times New Roman" w:hAnsi="Times New Roman" w:cs="Times New Roman"/>
          <w:lang w:val="en-CA"/>
        </w:rPr>
        <w:t xml:space="preserve"> </w:t>
      </w:r>
      <w:r w:rsidR="00285732" w:rsidRPr="00CC5771">
        <w:rPr>
          <w:rFonts w:ascii="Times New Roman" w:hAnsi="Times New Roman" w:cs="Times New Roman"/>
          <w:lang w:val="en-CA"/>
        </w:rPr>
        <w:t>“For the historically disempowered, the conferring of rights is symbolic of all the denied aspects of humanity: rights imply a respect which places one within the referential range of self and others, which elevates one</w:t>
      </w:r>
      <w:r w:rsidR="00912EC7">
        <w:rPr>
          <w:rFonts w:ascii="Times New Roman" w:hAnsi="Times New Roman" w:cs="Times New Roman"/>
          <w:lang w:val="en-CA"/>
        </w:rPr>
        <w:t>’</w:t>
      </w:r>
      <w:r w:rsidR="00285732" w:rsidRPr="00CC5771">
        <w:rPr>
          <w:rFonts w:ascii="Times New Roman" w:hAnsi="Times New Roman" w:cs="Times New Roman"/>
          <w:lang w:val="en-CA"/>
        </w:rPr>
        <w:t>s status from human body to social being.”</w:t>
      </w:r>
      <w:r w:rsidR="00285732" w:rsidRPr="00CC5771">
        <w:rPr>
          <w:rStyle w:val="FootnoteReference"/>
          <w:rFonts w:ascii="Times New Roman" w:hAnsi="Times New Roman" w:cs="Times New Roman"/>
          <w:lang w:val="en-CA"/>
        </w:rPr>
        <w:footnoteReference w:id="25"/>
      </w:r>
      <w:r w:rsidR="00DA6E62" w:rsidRPr="00CC5771">
        <w:rPr>
          <w:rFonts w:ascii="Times New Roman" w:hAnsi="Times New Roman" w:cs="Times New Roman"/>
          <w:lang w:val="en-CA"/>
        </w:rPr>
        <w:t xml:space="preserve"> </w:t>
      </w:r>
      <w:r w:rsidR="00285732" w:rsidRPr="00CC5771">
        <w:rPr>
          <w:rFonts w:ascii="Times New Roman" w:hAnsi="Times New Roman" w:cs="Times New Roman"/>
          <w:lang w:val="en-CA"/>
        </w:rPr>
        <w:t xml:space="preserve">For </w:t>
      </w:r>
      <w:r w:rsidR="00103D85" w:rsidRPr="00CC5771">
        <w:rPr>
          <w:rFonts w:ascii="Times New Roman" w:hAnsi="Times New Roman" w:cs="Times New Roman"/>
          <w:lang w:val="en-CA"/>
        </w:rPr>
        <w:t>some</w:t>
      </w:r>
      <w:r w:rsidR="00285732" w:rsidRPr="00CC5771">
        <w:rPr>
          <w:rFonts w:ascii="Times New Roman" w:hAnsi="Times New Roman" w:cs="Times New Roman"/>
          <w:lang w:val="en-CA"/>
        </w:rPr>
        <w:t xml:space="preserve">, </w:t>
      </w:r>
      <w:r w:rsidR="00103D85" w:rsidRPr="00CC5771">
        <w:rPr>
          <w:rFonts w:ascii="Times New Roman" w:hAnsi="Times New Roman" w:cs="Times New Roman"/>
          <w:lang w:val="en-CA"/>
        </w:rPr>
        <w:t>naming “gender identity” and “gender expression” in</w:t>
      </w:r>
      <w:r w:rsidR="00285732" w:rsidRPr="00CC5771">
        <w:rPr>
          <w:rFonts w:ascii="Times New Roman" w:hAnsi="Times New Roman" w:cs="Times New Roman"/>
          <w:lang w:val="en-CA"/>
        </w:rPr>
        <w:t xml:space="preserve"> law has been viewed as a </w:t>
      </w:r>
      <w:r w:rsidR="00A04F90" w:rsidRPr="00CC5771">
        <w:rPr>
          <w:rFonts w:ascii="Times New Roman" w:hAnsi="Times New Roman" w:cs="Times New Roman"/>
          <w:lang w:val="en-CA"/>
        </w:rPr>
        <w:t xml:space="preserve">significant </w:t>
      </w:r>
      <w:r w:rsidR="00285732" w:rsidRPr="00CC5771">
        <w:rPr>
          <w:rFonts w:ascii="Times New Roman" w:hAnsi="Times New Roman" w:cs="Times New Roman"/>
          <w:lang w:val="en-CA"/>
        </w:rPr>
        <w:t>symbolic victory. Speaking about Bill C-16,</w:t>
      </w:r>
      <w:r w:rsidR="00701259" w:rsidRPr="00CC5771">
        <w:rPr>
          <w:rStyle w:val="FootnoteReference"/>
          <w:rFonts w:ascii="Times New Roman" w:hAnsi="Times New Roman" w:cs="Times New Roman"/>
          <w:lang w:val="en-CA"/>
        </w:rPr>
        <w:footnoteReference w:id="26"/>
      </w:r>
      <w:r w:rsidR="00285732" w:rsidRPr="00CC5771">
        <w:rPr>
          <w:rFonts w:ascii="Times New Roman" w:hAnsi="Times New Roman" w:cs="Times New Roman"/>
          <w:lang w:val="en-CA"/>
        </w:rPr>
        <w:t xml:space="preserve"> the federal legislation adding “gender identity or expression” to both the </w:t>
      </w:r>
      <w:r w:rsidR="00285732" w:rsidRPr="00CC5771">
        <w:rPr>
          <w:rFonts w:ascii="Times New Roman" w:hAnsi="Times New Roman" w:cs="Times New Roman"/>
          <w:i/>
          <w:lang w:val="en-CA"/>
        </w:rPr>
        <w:t>Canadian Human Rights Act</w:t>
      </w:r>
      <w:r w:rsidR="00285732" w:rsidRPr="00CC5771">
        <w:rPr>
          <w:rFonts w:ascii="Times New Roman" w:hAnsi="Times New Roman" w:cs="Times New Roman"/>
          <w:lang w:val="en-CA"/>
        </w:rPr>
        <w:t xml:space="preserve"> and the hate crimes provisions of the </w:t>
      </w:r>
      <w:r w:rsidR="00285732" w:rsidRPr="00CC5771">
        <w:rPr>
          <w:rFonts w:ascii="Times New Roman" w:hAnsi="Times New Roman" w:cs="Times New Roman"/>
          <w:i/>
          <w:lang w:val="en-CA"/>
        </w:rPr>
        <w:t>Criminal Code</w:t>
      </w:r>
      <w:r w:rsidR="00285732" w:rsidRPr="00CC5771">
        <w:rPr>
          <w:rFonts w:ascii="Times New Roman" w:hAnsi="Times New Roman" w:cs="Times New Roman"/>
          <w:lang w:val="en-CA"/>
        </w:rPr>
        <w:t>,</w:t>
      </w:r>
      <w:r w:rsidR="00701259" w:rsidRPr="00CC5771">
        <w:rPr>
          <w:rStyle w:val="FootnoteReference"/>
          <w:rFonts w:ascii="Times New Roman" w:hAnsi="Times New Roman" w:cs="Times New Roman"/>
          <w:lang w:val="en-CA"/>
        </w:rPr>
        <w:footnoteReference w:id="27"/>
      </w:r>
      <w:r w:rsidR="00285732" w:rsidRPr="00CC5771">
        <w:rPr>
          <w:rFonts w:ascii="Times New Roman" w:hAnsi="Times New Roman" w:cs="Times New Roman"/>
          <w:lang w:val="en-CA"/>
        </w:rPr>
        <w:t xml:space="preserve"> </w:t>
      </w:r>
      <w:r w:rsidR="000C28B8" w:rsidRPr="00CC5771">
        <w:rPr>
          <w:rFonts w:ascii="Times New Roman" w:hAnsi="Times New Roman" w:cs="Times New Roman"/>
          <w:lang w:val="en-CA"/>
        </w:rPr>
        <w:t xml:space="preserve">writer </w:t>
      </w:r>
      <w:r w:rsidR="00285732" w:rsidRPr="00CC5771">
        <w:rPr>
          <w:rFonts w:ascii="Times New Roman" w:hAnsi="Times New Roman" w:cs="Times New Roman"/>
          <w:lang w:val="en-CA"/>
        </w:rPr>
        <w:t xml:space="preserve">Casey Plett </w:t>
      </w:r>
      <w:r w:rsidR="001343E5" w:rsidRPr="00CC5771">
        <w:rPr>
          <w:rFonts w:ascii="Times New Roman" w:hAnsi="Times New Roman" w:cs="Times New Roman"/>
          <w:lang w:val="en-CA"/>
        </w:rPr>
        <w:t>explained</w:t>
      </w:r>
      <w:r w:rsidR="00285732" w:rsidRPr="00CC5771">
        <w:rPr>
          <w:rFonts w:ascii="Times New Roman" w:hAnsi="Times New Roman" w:cs="Times New Roman"/>
          <w:lang w:val="en-CA"/>
        </w:rPr>
        <w:t xml:space="preserve"> that the passage of the law </w:t>
      </w:r>
      <w:r w:rsidR="00B67F18" w:rsidRPr="00CC5771">
        <w:rPr>
          <w:rFonts w:ascii="Times New Roman" w:hAnsi="Times New Roman" w:cs="Times New Roman"/>
          <w:lang w:val="en-CA"/>
        </w:rPr>
        <w:t>demonstrated that</w:t>
      </w:r>
      <w:r w:rsidR="00285732" w:rsidRPr="00CC5771">
        <w:rPr>
          <w:rFonts w:ascii="Times New Roman" w:hAnsi="Times New Roman" w:cs="Times New Roman"/>
          <w:lang w:val="en-CA"/>
        </w:rPr>
        <w:t xml:space="preserve"> “the majority of the [legislative] chamber informed trans </w:t>
      </w:r>
      <w:r w:rsidR="000C28B8" w:rsidRPr="00CC5771">
        <w:rPr>
          <w:rFonts w:ascii="Times New Roman" w:hAnsi="Times New Roman" w:cs="Times New Roman"/>
          <w:lang w:val="en-CA"/>
        </w:rPr>
        <w:t xml:space="preserve">Canadians we </w:t>
      </w:r>
      <w:r w:rsidR="000C28B8" w:rsidRPr="00CC5771">
        <w:rPr>
          <w:rFonts w:ascii="Times New Roman" w:hAnsi="Times New Roman" w:cs="Times New Roman"/>
          <w:lang w:val="en-CA"/>
        </w:rPr>
        <w:lastRenderedPageBreak/>
        <w:t>were wanted</w:t>
      </w:r>
      <w:r w:rsidR="009C3F79">
        <w:rPr>
          <w:rFonts w:ascii="Times New Roman" w:hAnsi="Times New Roman" w:cs="Times New Roman"/>
          <w:lang w:val="en-CA"/>
        </w:rPr>
        <w:t>.”</w:t>
      </w:r>
      <w:r w:rsidR="000C28B8" w:rsidRPr="00CC5771">
        <w:rPr>
          <w:rFonts w:ascii="Times New Roman" w:hAnsi="Times New Roman" w:cs="Times New Roman"/>
          <w:lang w:val="en-CA"/>
        </w:rPr>
        <w:t xml:space="preserve"> Plett further noted </w:t>
      </w:r>
      <w:r w:rsidR="00285732" w:rsidRPr="00CC5771">
        <w:rPr>
          <w:rFonts w:ascii="Times New Roman" w:hAnsi="Times New Roman" w:cs="Times New Roman"/>
          <w:lang w:val="en-CA"/>
        </w:rPr>
        <w:t>that “[the] victory was largely symbolic</w:t>
      </w:r>
      <w:r w:rsidR="000641DD">
        <w:rPr>
          <w:rFonts w:ascii="Times New Roman" w:hAnsi="Times New Roman" w:cs="Times New Roman"/>
          <w:lang w:val="en-CA"/>
        </w:rPr>
        <w:t>—</w:t>
      </w:r>
      <w:r w:rsidR="00285732" w:rsidRPr="00CC5771">
        <w:rPr>
          <w:rFonts w:ascii="Times New Roman" w:hAnsi="Times New Roman" w:cs="Times New Roman"/>
          <w:lang w:val="en-CA"/>
        </w:rPr>
        <w:t>and sometimes symbolic victories are really meaningful</w:t>
      </w:r>
      <w:r w:rsidR="009C3F79">
        <w:rPr>
          <w:rFonts w:ascii="Times New Roman" w:hAnsi="Times New Roman" w:cs="Times New Roman"/>
          <w:lang w:val="en-CA"/>
        </w:rPr>
        <w:t>.”</w:t>
      </w:r>
      <w:r w:rsidR="00285732" w:rsidRPr="00CC5771">
        <w:rPr>
          <w:rStyle w:val="FootnoteReference"/>
          <w:rFonts w:ascii="Times New Roman" w:hAnsi="Times New Roman" w:cs="Times New Roman"/>
          <w:lang w:val="en-CA"/>
        </w:rPr>
        <w:footnoteReference w:id="28"/>
      </w:r>
      <w:r w:rsidR="00285732" w:rsidRPr="00CC5771">
        <w:rPr>
          <w:rFonts w:ascii="Times New Roman" w:hAnsi="Times New Roman" w:cs="Times New Roman"/>
          <w:lang w:val="en-CA"/>
        </w:rPr>
        <w:t xml:space="preserve"> </w:t>
      </w:r>
    </w:p>
    <w:p w14:paraId="7977B185" w14:textId="044ABEFC" w:rsidR="00D719D1" w:rsidRPr="00CC5771" w:rsidRDefault="00D719D1"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 xml:space="preserve">At the educative level, </w:t>
      </w:r>
      <w:r w:rsidR="00103D85" w:rsidRPr="00CC5771">
        <w:rPr>
          <w:rFonts w:ascii="Times New Roman" w:hAnsi="Times New Roman" w:cs="Times New Roman"/>
          <w:lang w:val="en-CA"/>
        </w:rPr>
        <w:t>extending human rights protections</w:t>
      </w:r>
      <w:r w:rsidR="00BA3226" w:rsidRPr="00CC5771">
        <w:rPr>
          <w:rFonts w:ascii="Times New Roman" w:hAnsi="Times New Roman" w:cs="Times New Roman"/>
          <w:lang w:val="en-CA"/>
        </w:rPr>
        <w:t xml:space="preserve"> holds the promise of </w:t>
      </w:r>
      <w:r w:rsidR="000C28B8" w:rsidRPr="00CC5771">
        <w:rPr>
          <w:rFonts w:ascii="Times New Roman" w:hAnsi="Times New Roman" w:cs="Times New Roman"/>
          <w:lang w:val="en-CA"/>
        </w:rPr>
        <w:t>sending a message to</w:t>
      </w:r>
      <w:r w:rsidR="00BA3226" w:rsidRPr="00CC5771">
        <w:rPr>
          <w:rFonts w:ascii="Times New Roman" w:hAnsi="Times New Roman" w:cs="Times New Roman"/>
          <w:lang w:val="en-CA"/>
        </w:rPr>
        <w:t xml:space="preserve"> members</w:t>
      </w:r>
      <w:r w:rsidR="00701259" w:rsidRPr="00CC5771">
        <w:rPr>
          <w:rFonts w:ascii="Times New Roman" w:hAnsi="Times New Roman" w:cs="Times New Roman"/>
          <w:lang w:val="en-CA"/>
        </w:rPr>
        <w:t xml:space="preserve"> of historically marginalized communities</w:t>
      </w:r>
      <w:r w:rsidR="00BA3226" w:rsidRPr="00CC5771">
        <w:rPr>
          <w:rFonts w:ascii="Times New Roman" w:hAnsi="Times New Roman" w:cs="Times New Roman"/>
          <w:lang w:val="en-CA"/>
        </w:rPr>
        <w:t xml:space="preserve"> that </w:t>
      </w:r>
      <w:r w:rsidR="00B67F18" w:rsidRPr="00CC5771">
        <w:rPr>
          <w:rFonts w:ascii="Times New Roman" w:hAnsi="Times New Roman" w:cs="Times New Roman"/>
          <w:lang w:val="en-CA"/>
        </w:rPr>
        <w:t>they can</w:t>
      </w:r>
      <w:r w:rsidR="00BA3226" w:rsidRPr="00CC5771">
        <w:rPr>
          <w:rFonts w:ascii="Times New Roman" w:hAnsi="Times New Roman" w:cs="Times New Roman"/>
          <w:lang w:val="en-CA"/>
        </w:rPr>
        <w:t xml:space="preserve"> seek legal recourse </w:t>
      </w:r>
      <w:r w:rsidR="00F257A3" w:rsidRPr="00CC5771">
        <w:rPr>
          <w:rFonts w:ascii="Times New Roman" w:hAnsi="Times New Roman" w:cs="Times New Roman"/>
          <w:lang w:val="en-CA"/>
        </w:rPr>
        <w:t>when they experience</w:t>
      </w:r>
      <w:r w:rsidR="00BA3226" w:rsidRPr="00CC5771">
        <w:rPr>
          <w:rFonts w:ascii="Times New Roman" w:hAnsi="Times New Roman" w:cs="Times New Roman"/>
          <w:lang w:val="en-CA"/>
        </w:rPr>
        <w:t xml:space="preserve"> discrimination. </w:t>
      </w:r>
      <w:r w:rsidR="00701259" w:rsidRPr="00CC5771">
        <w:rPr>
          <w:rFonts w:ascii="Times New Roman" w:hAnsi="Times New Roman" w:cs="Times New Roman"/>
          <w:lang w:val="en-CA"/>
        </w:rPr>
        <w:t xml:space="preserve">Writing about the </w:t>
      </w:r>
      <w:r w:rsidR="00D655E3" w:rsidRPr="00CC5771">
        <w:rPr>
          <w:rFonts w:ascii="Times New Roman" w:hAnsi="Times New Roman" w:cs="Times New Roman"/>
          <w:lang w:val="en-CA"/>
        </w:rPr>
        <w:t xml:space="preserve">educative function of </w:t>
      </w:r>
      <w:r w:rsidR="00A4652F" w:rsidRPr="00CC5771">
        <w:rPr>
          <w:rFonts w:ascii="Times New Roman" w:hAnsi="Times New Roman" w:cs="Times New Roman"/>
          <w:lang w:val="en-CA"/>
        </w:rPr>
        <w:t>law</w:t>
      </w:r>
      <w:r w:rsidR="000C28B8" w:rsidRPr="00CC5771">
        <w:rPr>
          <w:rFonts w:ascii="Times New Roman" w:hAnsi="Times New Roman" w:cs="Times New Roman"/>
          <w:lang w:val="en-CA"/>
        </w:rPr>
        <w:t>, socio-legal theorist</w:t>
      </w:r>
      <w:r w:rsidR="00D655E3" w:rsidRPr="00CC5771">
        <w:rPr>
          <w:rFonts w:ascii="Times New Roman" w:hAnsi="Times New Roman" w:cs="Times New Roman"/>
          <w:lang w:val="en-CA"/>
        </w:rPr>
        <w:t xml:space="preserve"> Frances </w:t>
      </w:r>
      <w:r w:rsidR="00D74B5D" w:rsidRPr="00CC5771">
        <w:rPr>
          <w:rFonts w:ascii="Times New Roman" w:hAnsi="Times New Roman" w:cs="Times New Roman"/>
          <w:lang w:val="en-CA"/>
        </w:rPr>
        <w:t xml:space="preserve">Kahn </w:t>
      </w:r>
      <w:r w:rsidR="00D655E3" w:rsidRPr="00CC5771">
        <w:rPr>
          <w:rFonts w:ascii="Times New Roman" w:hAnsi="Times New Roman" w:cs="Times New Roman"/>
          <w:lang w:val="en-CA"/>
        </w:rPr>
        <w:t>Zemans explains that “perceptions of desires, wants, and interests are themselves strongly influenced by the nature and content of legal norms and evolving social definitions of the circumstances in which the law is appropriately invoked</w:t>
      </w:r>
      <w:r w:rsidR="009C3F79">
        <w:rPr>
          <w:rFonts w:ascii="Times New Roman" w:hAnsi="Times New Roman" w:cs="Times New Roman"/>
          <w:lang w:val="en-CA"/>
        </w:rPr>
        <w:t>.”</w:t>
      </w:r>
      <w:r w:rsidR="00D655E3" w:rsidRPr="00CC5771">
        <w:rPr>
          <w:rStyle w:val="FootnoteReference"/>
          <w:rFonts w:ascii="Times New Roman" w:hAnsi="Times New Roman" w:cs="Times New Roman"/>
          <w:lang w:val="en-CA"/>
        </w:rPr>
        <w:footnoteReference w:id="29"/>
      </w:r>
      <w:r w:rsidR="00D655E3" w:rsidRPr="00CC5771">
        <w:rPr>
          <w:rFonts w:ascii="Times New Roman" w:hAnsi="Times New Roman" w:cs="Times New Roman"/>
          <w:lang w:val="en-CA"/>
        </w:rPr>
        <w:t xml:space="preserve"> </w:t>
      </w:r>
      <w:r w:rsidR="00BA3226" w:rsidRPr="00CC5771">
        <w:rPr>
          <w:rFonts w:ascii="Times New Roman" w:hAnsi="Times New Roman" w:cs="Times New Roman"/>
          <w:lang w:val="en-CA"/>
        </w:rPr>
        <w:t>As the Northwest Territories</w:t>
      </w:r>
      <w:r w:rsidR="00912EC7">
        <w:rPr>
          <w:rFonts w:ascii="Times New Roman" w:hAnsi="Times New Roman" w:cs="Times New Roman"/>
          <w:lang w:val="en-CA"/>
        </w:rPr>
        <w:t>’</w:t>
      </w:r>
      <w:r w:rsidR="00BA3226" w:rsidRPr="00CC5771">
        <w:rPr>
          <w:rFonts w:ascii="Times New Roman" w:hAnsi="Times New Roman" w:cs="Times New Roman"/>
          <w:lang w:val="en-CA"/>
        </w:rPr>
        <w:t xml:space="preserve"> Standing Committee on Social Programs</w:t>
      </w:r>
      <w:r w:rsidR="00BA7DB5" w:rsidRPr="00CC5771">
        <w:rPr>
          <w:rFonts w:ascii="Times New Roman" w:hAnsi="Times New Roman" w:cs="Times New Roman"/>
          <w:lang w:val="en-CA"/>
        </w:rPr>
        <w:t xml:space="preserve"> </w:t>
      </w:r>
      <w:r w:rsidR="00194E81" w:rsidRPr="00CC5771">
        <w:rPr>
          <w:rFonts w:ascii="Times New Roman" w:hAnsi="Times New Roman" w:cs="Times New Roman"/>
          <w:lang w:val="en-CA"/>
        </w:rPr>
        <w:t>noted</w:t>
      </w:r>
      <w:r w:rsidR="00BA3226" w:rsidRPr="00CC5771">
        <w:rPr>
          <w:rFonts w:ascii="Times New Roman" w:hAnsi="Times New Roman" w:cs="Times New Roman"/>
          <w:lang w:val="en-CA"/>
        </w:rPr>
        <w:t xml:space="preserve">, just before </w:t>
      </w:r>
      <w:r w:rsidR="00B67F18" w:rsidRPr="00CC5771">
        <w:rPr>
          <w:rFonts w:ascii="Times New Roman" w:hAnsi="Times New Roman" w:cs="Times New Roman"/>
          <w:lang w:val="en-CA"/>
        </w:rPr>
        <w:t>the jurisdiction became the first</w:t>
      </w:r>
      <w:r w:rsidR="000C28B8" w:rsidRPr="00CC5771">
        <w:rPr>
          <w:rFonts w:ascii="Times New Roman" w:hAnsi="Times New Roman" w:cs="Times New Roman"/>
          <w:lang w:val="en-CA"/>
        </w:rPr>
        <w:t xml:space="preserve"> in Canada to add</w:t>
      </w:r>
      <w:r w:rsidR="00BA3226" w:rsidRPr="00CC5771">
        <w:rPr>
          <w:rFonts w:ascii="Times New Roman" w:hAnsi="Times New Roman" w:cs="Times New Roman"/>
          <w:lang w:val="en-CA"/>
        </w:rPr>
        <w:t xml:space="preserve"> “gender identity” </w:t>
      </w:r>
      <w:r w:rsidR="000C28B8" w:rsidRPr="00CC5771">
        <w:rPr>
          <w:rFonts w:ascii="Times New Roman" w:hAnsi="Times New Roman" w:cs="Times New Roman"/>
          <w:lang w:val="en-CA"/>
        </w:rPr>
        <w:t>to</w:t>
      </w:r>
      <w:r w:rsidR="00BA3226" w:rsidRPr="00CC5771">
        <w:rPr>
          <w:rFonts w:ascii="Times New Roman" w:hAnsi="Times New Roman" w:cs="Times New Roman"/>
          <w:lang w:val="en-CA"/>
        </w:rPr>
        <w:t xml:space="preserve"> its human rights code</w:t>
      </w:r>
      <w:r w:rsidR="00A4652F" w:rsidRPr="00CC5771">
        <w:rPr>
          <w:rFonts w:ascii="Times New Roman" w:hAnsi="Times New Roman" w:cs="Times New Roman"/>
          <w:lang w:val="en-CA"/>
        </w:rPr>
        <w:t xml:space="preserve"> in 2002</w:t>
      </w:r>
      <w:r w:rsidR="000C28B8" w:rsidRPr="00CC5771">
        <w:rPr>
          <w:rFonts w:ascii="Times New Roman" w:hAnsi="Times New Roman" w:cs="Times New Roman"/>
          <w:lang w:val="en-CA"/>
        </w:rPr>
        <w:t>:</w:t>
      </w:r>
      <w:r w:rsidR="00BA3226" w:rsidRPr="00CC5771">
        <w:rPr>
          <w:rFonts w:ascii="Times New Roman" w:hAnsi="Times New Roman" w:cs="Times New Roman"/>
          <w:lang w:val="en-CA"/>
        </w:rPr>
        <w:t xml:space="preserve"> “Although some have argued that this protection is already available through case law, the Committee believes that it is more useful to be explicit about the types of discrimination the Act aims to prevent. Furthermore, by including it in the legislation, the Committee believes we are furthering the educative goals of the </w:t>
      </w:r>
      <w:r w:rsidR="00BA3226" w:rsidRPr="00CC5771">
        <w:rPr>
          <w:rFonts w:ascii="Times New Roman" w:hAnsi="Times New Roman" w:cs="Times New Roman"/>
          <w:i/>
          <w:lang w:val="en-CA"/>
        </w:rPr>
        <w:t>Human Rights Act</w:t>
      </w:r>
      <w:r w:rsidR="00BA3226" w:rsidRPr="00CC5771">
        <w:rPr>
          <w:rFonts w:ascii="Times New Roman" w:hAnsi="Times New Roman" w:cs="Times New Roman"/>
          <w:lang w:val="en-CA"/>
        </w:rPr>
        <w:t>.”</w:t>
      </w:r>
      <w:r w:rsidR="00BA3226" w:rsidRPr="00CC5771">
        <w:rPr>
          <w:rStyle w:val="FootnoteReference"/>
          <w:rFonts w:ascii="Times New Roman" w:hAnsi="Times New Roman" w:cs="Times New Roman"/>
          <w:lang w:val="en-CA"/>
        </w:rPr>
        <w:footnoteReference w:id="30"/>
      </w:r>
      <w:r w:rsidR="00D655E3" w:rsidRPr="00CC5771">
        <w:rPr>
          <w:rFonts w:ascii="Times New Roman" w:hAnsi="Times New Roman" w:cs="Times New Roman"/>
          <w:lang w:val="en-CA"/>
        </w:rPr>
        <w:t xml:space="preserve"> </w:t>
      </w:r>
      <w:r w:rsidR="00116C2D" w:rsidRPr="00CC5771">
        <w:rPr>
          <w:rFonts w:ascii="Times New Roman" w:hAnsi="Times New Roman" w:cs="Times New Roman"/>
          <w:lang w:val="en-CA"/>
        </w:rPr>
        <w:t>Adding</w:t>
      </w:r>
      <w:r w:rsidR="007413CF" w:rsidRPr="00CC5771">
        <w:rPr>
          <w:rFonts w:ascii="Times New Roman" w:hAnsi="Times New Roman" w:cs="Times New Roman"/>
          <w:lang w:val="en-CA"/>
        </w:rPr>
        <w:t xml:space="preserve"> terms</w:t>
      </w:r>
      <w:r w:rsidR="00103D85" w:rsidRPr="00CC5771">
        <w:rPr>
          <w:rFonts w:ascii="Times New Roman" w:hAnsi="Times New Roman" w:cs="Times New Roman"/>
          <w:lang w:val="en-CA"/>
        </w:rPr>
        <w:t xml:space="preserve"> in human rights law holds the promise of serving a public education function</w:t>
      </w:r>
      <w:r w:rsidR="000641DD">
        <w:rPr>
          <w:rFonts w:ascii="Times New Roman" w:hAnsi="Times New Roman" w:cs="Times New Roman"/>
          <w:lang w:val="en-CA"/>
        </w:rPr>
        <w:t>—</w:t>
      </w:r>
      <w:r w:rsidR="00103D85" w:rsidRPr="00CC5771">
        <w:rPr>
          <w:rFonts w:ascii="Times New Roman" w:hAnsi="Times New Roman" w:cs="Times New Roman"/>
          <w:lang w:val="en-CA"/>
        </w:rPr>
        <w:t>for</w:t>
      </w:r>
      <w:r w:rsidR="007413CF" w:rsidRPr="00CC5771">
        <w:rPr>
          <w:rFonts w:ascii="Times New Roman" w:hAnsi="Times New Roman" w:cs="Times New Roman"/>
          <w:lang w:val="en-CA"/>
        </w:rPr>
        <w:t xml:space="preserve"> both</w:t>
      </w:r>
      <w:r w:rsidR="00103D85" w:rsidRPr="00CC5771">
        <w:rPr>
          <w:rFonts w:ascii="Times New Roman" w:hAnsi="Times New Roman" w:cs="Times New Roman"/>
          <w:lang w:val="en-CA"/>
        </w:rPr>
        <w:t xml:space="preserve"> perpetrators and victims of discrimination. </w:t>
      </w:r>
      <w:r w:rsidR="00D655E3" w:rsidRPr="00CC5771">
        <w:rPr>
          <w:rFonts w:ascii="Times New Roman" w:hAnsi="Times New Roman" w:cs="Times New Roman"/>
          <w:lang w:val="en-CA"/>
        </w:rPr>
        <w:t xml:space="preserve">While </w:t>
      </w:r>
      <w:r w:rsidR="00212A57">
        <w:rPr>
          <w:rFonts w:ascii="Times New Roman" w:hAnsi="Times New Roman" w:cs="Times New Roman"/>
          <w:lang w:val="en-CA"/>
        </w:rPr>
        <w:t>remaining</w:t>
      </w:r>
      <w:r w:rsidR="00D655E3" w:rsidRPr="00CC5771">
        <w:rPr>
          <w:rFonts w:ascii="Times New Roman" w:hAnsi="Times New Roman" w:cs="Times New Roman"/>
          <w:lang w:val="en-CA"/>
        </w:rPr>
        <w:t xml:space="preserve"> critical of human rights protections</w:t>
      </w:r>
      <w:r w:rsidR="007A48CB" w:rsidRPr="00CC5771">
        <w:rPr>
          <w:rFonts w:ascii="Times New Roman" w:hAnsi="Times New Roman" w:cs="Times New Roman"/>
          <w:lang w:val="en-CA"/>
        </w:rPr>
        <w:t xml:space="preserve"> as the sole locus of advocacy</w:t>
      </w:r>
      <w:r w:rsidR="00D655E3" w:rsidRPr="00CC5771">
        <w:rPr>
          <w:rFonts w:ascii="Times New Roman" w:hAnsi="Times New Roman" w:cs="Times New Roman"/>
          <w:lang w:val="en-CA"/>
        </w:rPr>
        <w:t xml:space="preserve">, </w:t>
      </w:r>
      <w:r w:rsidR="00212A57">
        <w:rPr>
          <w:rFonts w:ascii="Times New Roman" w:hAnsi="Times New Roman" w:cs="Times New Roman"/>
          <w:lang w:val="en-CA"/>
        </w:rPr>
        <w:t>Florence Ashley</w:t>
      </w:r>
      <w:r w:rsidR="00212A57" w:rsidRPr="00CC5771">
        <w:rPr>
          <w:rFonts w:ascii="Times New Roman" w:hAnsi="Times New Roman" w:cs="Times New Roman"/>
          <w:lang w:val="en-CA"/>
        </w:rPr>
        <w:t xml:space="preserve"> </w:t>
      </w:r>
      <w:r w:rsidR="00D655E3" w:rsidRPr="00CC5771">
        <w:rPr>
          <w:rFonts w:ascii="Times New Roman" w:hAnsi="Times New Roman" w:cs="Times New Roman"/>
          <w:lang w:val="en-CA"/>
        </w:rPr>
        <w:t>underscore</w:t>
      </w:r>
      <w:r w:rsidR="00212A57">
        <w:rPr>
          <w:rFonts w:ascii="Times New Roman" w:hAnsi="Times New Roman" w:cs="Times New Roman"/>
          <w:lang w:val="en-CA"/>
        </w:rPr>
        <w:t>s</w:t>
      </w:r>
      <w:r w:rsidR="00D655E3" w:rsidRPr="00CC5771">
        <w:rPr>
          <w:rFonts w:ascii="Times New Roman" w:hAnsi="Times New Roman" w:cs="Times New Roman"/>
          <w:lang w:val="en-CA"/>
        </w:rPr>
        <w:t xml:space="preserve"> </w:t>
      </w:r>
      <w:r w:rsidR="007A48CB" w:rsidRPr="00CC5771">
        <w:rPr>
          <w:rFonts w:ascii="Times New Roman" w:hAnsi="Times New Roman" w:cs="Times New Roman"/>
          <w:lang w:val="en-CA"/>
        </w:rPr>
        <w:t>a series of</w:t>
      </w:r>
      <w:r w:rsidR="00D655E3" w:rsidRPr="00CC5771">
        <w:rPr>
          <w:rFonts w:ascii="Times New Roman" w:hAnsi="Times New Roman" w:cs="Times New Roman"/>
          <w:lang w:val="en-CA"/>
        </w:rPr>
        <w:t xml:space="preserve"> potential benefits when the educative promise of human rights law is </w:t>
      </w:r>
      <w:r w:rsidR="000C28B8" w:rsidRPr="00CC5771">
        <w:rPr>
          <w:rFonts w:ascii="Times New Roman" w:hAnsi="Times New Roman" w:cs="Times New Roman"/>
          <w:lang w:val="en-CA"/>
        </w:rPr>
        <w:t>realized</w:t>
      </w:r>
      <w:r w:rsidR="00D655E3" w:rsidRPr="00CC5771">
        <w:rPr>
          <w:rFonts w:ascii="Times New Roman" w:hAnsi="Times New Roman" w:cs="Times New Roman"/>
          <w:lang w:val="en-CA"/>
        </w:rPr>
        <w:t>: “Widespread knowledge of the presence of anti-discrimination laws might nevertheless have a greater deterrent effect than hate crime laws</w:t>
      </w:r>
      <w:r w:rsidR="00D63906">
        <w:rPr>
          <w:rFonts w:ascii="Times New Roman" w:hAnsi="Times New Roman" w:cs="Times New Roman"/>
          <w:lang w:val="en-CA"/>
        </w:rPr>
        <w:t xml:space="preserve">. </w:t>
      </w:r>
      <w:r w:rsidR="00D655E3" w:rsidRPr="00CC5771">
        <w:rPr>
          <w:rFonts w:ascii="Times New Roman" w:hAnsi="Times New Roman" w:cs="Times New Roman"/>
          <w:lang w:val="en-CA"/>
        </w:rPr>
        <w:t>…</w:t>
      </w:r>
      <w:r w:rsidR="00D63906">
        <w:rPr>
          <w:rFonts w:ascii="Times New Roman" w:hAnsi="Times New Roman" w:cs="Times New Roman"/>
          <w:lang w:val="en-CA"/>
        </w:rPr>
        <w:t xml:space="preserve"> </w:t>
      </w:r>
      <w:r w:rsidR="00D655E3" w:rsidRPr="00CC5771">
        <w:rPr>
          <w:rFonts w:ascii="Times New Roman" w:hAnsi="Times New Roman" w:cs="Times New Roman"/>
          <w:lang w:val="en-CA"/>
        </w:rPr>
        <w:t>[</w:t>
      </w:r>
      <w:r w:rsidR="00A04F90" w:rsidRPr="00CC5771">
        <w:rPr>
          <w:rFonts w:ascii="Times New Roman" w:hAnsi="Times New Roman" w:cs="Times New Roman"/>
          <w:lang w:val="en-CA"/>
        </w:rPr>
        <w:t>However,</w:t>
      </w:r>
      <w:r w:rsidR="00D655E3" w:rsidRPr="00CC5771">
        <w:rPr>
          <w:rFonts w:ascii="Times New Roman" w:hAnsi="Times New Roman" w:cs="Times New Roman"/>
          <w:lang w:val="en-CA"/>
        </w:rPr>
        <w:t>]</w:t>
      </w:r>
      <w:r w:rsidR="00457D41" w:rsidRPr="00CC5771">
        <w:rPr>
          <w:rFonts w:ascii="Times New Roman" w:hAnsi="Times New Roman" w:cs="Times New Roman"/>
          <w:lang w:val="en-CA"/>
        </w:rPr>
        <w:t xml:space="preserve"> s</w:t>
      </w:r>
      <w:r w:rsidR="00D655E3" w:rsidRPr="00CC5771">
        <w:rPr>
          <w:rFonts w:ascii="Times New Roman" w:hAnsi="Times New Roman" w:cs="Times New Roman"/>
          <w:lang w:val="en-CA"/>
        </w:rPr>
        <w:t xml:space="preserve">hort of a </w:t>
      </w:r>
      <w:r w:rsidR="00D655E3" w:rsidRPr="00CC5771">
        <w:rPr>
          <w:rFonts w:ascii="Times New Roman" w:hAnsi="Times New Roman" w:cs="Times New Roman"/>
          <w:lang w:val="en-CA"/>
        </w:rPr>
        <w:lastRenderedPageBreak/>
        <w:t>successful, structured educational campaign, anti-discrimination provisions are bound to retain a modest reach. People cannot be influenced by the law if they do not know it.”</w:t>
      </w:r>
      <w:r w:rsidR="00D655E3" w:rsidRPr="00CC5771">
        <w:rPr>
          <w:rStyle w:val="FootnoteReference"/>
          <w:rFonts w:ascii="Times New Roman" w:hAnsi="Times New Roman" w:cs="Times New Roman"/>
          <w:lang w:val="en-CA"/>
        </w:rPr>
        <w:footnoteReference w:id="31"/>
      </w:r>
    </w:p>
    <w:p w14:paraId="5902FA7F" w14:textId="3F6A1031" w:rsidR="00C440AC" w:rsidRPr="00CC5771" w:rsidRDefault="00701259"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Meanwhile, at</w:t>
      </w:r>
      <w:r w:rsidR="00DA6E62" w:rsidRPr="00CC5771">
        <w:rPr>
          <w:rFonts w:ascii="Times New Roman" w:hAnsi="Times New Roman" w:cs="Times New Roman"/>
          <w:lang w:val="en-CA"/>
        </w:rPr>
        <w:t xml:space="preserve"> the instrumental level, </w:t>
      </w:r>
      <w:r w:rsidR="00D719D1" w:rsidRPr="00CC5771">
        <w:rPr>
          <w:rFonts w:ascii="Times New Roman" w:hAnsi="Times New Roman" w:cs="Times New Roman"/>
          <w:lang w:val="en-CA"/>
        </w:rPr>
        <w:t xml:space="preserve">recognizing identities in the context of </w:t>
      </w:r>
      <w:r w:rsidR="00047229" w:rsidRPr="00CC5771">
        <w:rPr>
          <w:rFonts w:ascii="Times New Roman" w:hAnsi="Times New Roman" w:cs="Times New Roman"/>
          <w:lang w:val="en-CA"/>
        </w:rPr>
        <w:t xml:space="preserve">human rights law holds the promise of </w:t>
      </w:r>
      <w:r w:rsidR="00994731" w:rsidRPr="00CC5771">
        <w:rPr>
          <w:rFonts w:ascii="Times New Roman" w:hAnsi="Times New Roman" w:cs="Times New Roman"/>
          <w:lang w:val="en-CA"/>
        </w:rPr>
        <w:t>remedying</w:t>
      </w:r>
      <w:r w:rsidR="00047229" w:rsidRPr="00CC5771">
        <w:rPr>
          <w:rFonts w:ascii="Times New Roman" w:hAnsi="Times New Roman" w:cs="Times New Roman"/>
          <w:lang w:val="en-CA"/>
        </w:rPr>
        <w:t xml:space="preserve"> individual instances of </w:t>
      </w:r>
      <w:r w:rsidR="00994731" w:rsidRPr="00CC5771">
        <w:rPr>
          <w:rFonts w:ascii="Times New Roman" w:hAnsi="Times New Roman" w:cs="Times New Roman"/>
          <w:lang w:val="en-CA"/>
        </w:rPr>
        <w:t>discrimination on the basis of prohibited grounds</w:t>
      </w:r>
      <w:r w:rsidR="00A4652F" w:rsidRPr="00CC5771">
        <w:rPr>
          <w:rFonts w:ascii="Times New Roman" w:hAnsi="Times New Roman" w:cs="Times New Roman"/>
          <w:lang w:val="en-CA"/>
        </w:rPr>
        <w:t xml:space="preserve">. </w:t>
      </w:r>
      <w:r w:rsidR="000C28B8" w:rsidRPr="00CC5771">
        <w:rPr>
          <w:rFonts w:ascii="Times New Roman" w:hAnsi="Times New Roman" w:cs="Times New Roman"/>
          <w:lang w:val="en-CA"/>
        </w:rPr>
        <w:t>Such</w:t>
      </w:r>
      <w:r w:rsidR="00A4652F" w:rsidRPr="00CC5771">
        <w:rPr>
          <w:rFonts w:ascii="Times New Roman" w:hAnsi="Times New Roman" w:cs="Times New Roman"/>
          <w:lang w:val="en-CA"/>
        </w:rPr>
        <w:t xml:space="preserve"> claims</w:t>
      </w:r>
      <w:r w:rsidR="000C28B8" w:rsidRPr="00CC5771">
        <w:rPr>
          <w:rFonts w:ascii="Times New Roman" w:hAnsi="Times New Roman" w:cs="Times New Roman"/>
          <w:lang w:val="en-CA"/>
        </w:rPr>
        <w:t xml:space="preserve"> of discrimination</w:t>
      </w:r>
      <w:r w:rsidR="00A4652F" w:rsidRPr="00CC5771">
        <w:rPr>
          <w:rFonts w:ascii="Times New Roman" w:hAnsi="Times New Roman" w:cs="Times New Roman"/>
          <w:lang w:val="en-CA"/>
        </w:rPr>
        <w:t xml:space="preserve"> are usually resolved in traditional legal forums, such as courts and tribunals</w:t>
      </w:r>
      <w:r w:rsidR="00162B72" w:rsidRPr="00CC5771">
        <w:rPr>
          <w:rFonts w:ascii="Times New Roman" w:hAnsi="Times New Roman" w:cs="Times New Roman"/>
          <w:lang w:val="en-CA"/>
        </w:rPr>
        <w:t>, but may have a series of implications for</w:t>
      </w:r>
      <w:r w:rsidR="000F74B7" w:rsidRPr="00CC5771">
        <w:rPr>
          <w:rFonts w:ascii="Times New Roman" w:hAnsi="Times New Roman" w:cs="Times New Roman"/>
          <w:lang w:val="en-CA"/>
        </w:rPr>
        <w:t xml:space="preserve"> a variety of</w:t>
      </w:r>
      <w:r w:rsidR="00162B72" w:rsidRPr="00CC5771">
        <w:rPr>
          <w:rFonts w:ascii="Times New Roman" w:hAnsi="Times New Roman" w:cs="Times New Roman"/>
          <w:lang w:val="en-CA"/>
        </w:rPr>
        <w:t xml:space="preserve"> state and society actors</w:t>
      </w:r>
      <w:r w:rsidR="00994731" w:rsidRPr="00CC5771">
        <w:rPr>
          <w:rFonts w:ascii="Times New Roman" w:hAnsi="Times New Roman" w:cs="Times New Roman"/>
          <w:lang w:val="en-CA"/>
        </w:rPr>
        <w:t xml:space="preserve">. </w:t>
      </w:r>
      <w:r w:rsidRPr="00CC5771">
        <w:rPr>
          <w:rFonts w:ascii="Times New Roman" w:hAnsi="Times New Roman" w:cs="Times New Roman"/>
          <w:lang w:val="en-CA"/>
        </w:rPr>
        <w:t xml:space="preserve">A series of recent </w:t>
      </w:r>
      <w:r w:rsidR="00A4652F" w:rsidRPr="00CC5771">
        <w:rPr>
          <w:rFonts w:ascii="Times New Roman" w:hAnsi="Times New Roman" w:cs="Times New Roman"/>
          <w:lang w:val="en-CA"/>
        </w:rPr>
        <w:t xml:space="preserve">reported </w:t>
      </w:r>
      <w:r w:rsidRPr="00CC5771">
        <w:rPr>
          <w:rFonts w:ascii="Times New Roman" w:hAnsi="Times New Roman" w:cs="Times New Roman"/>
          <w:lang w:val="en-CA"/>
        </w:rPr>
        <w:t>cases</w:t>
      </w:r>
      <w:r w:rsidR="00652F66" w:rsidRPr="00CC5771">
        <w:rPr>
          <w:rFonts w:ascii="Times New Roman" w:hAnsi="Times New Roman" w:cs="Times New Roman"/>
          <w:lang w:val="en-CA"/>
        </w:rPr>
        <w:t xml:space="preserve"> demonstrate</w:t>
      </w:r>
      <w:r w:rsidR="00D63906">
        <w:rPr>
          <w:rFonts w:ascii="Times New Roman" w:hAnsi="Times New Roman" w:cs="Times New Roman"/>
          <w:lang w:val="en-CA"/>
        </w:rPr>
        <w:t>s</w:t>
      </w:r>
      <w:r w:rsidR="000C28B8" w:rsidRPr="00CC5771">
        <w:rPr>
          <w:rFonts w:ascii="Times New Roman" w:hAnsi="Times New Roman" w:cs="Times New Roman"/>
          <w:lang w:val="en-CA"/>
        </w:rPr>
        <w:t>, in concrete terms,</w:t>
      </w:r>
      <w:r w:rsidRPr="00CC5771">
        <w:rPr>
          <w:rFonts w:ascii="Times New Roman" w:hAnsi="Times New Roman" w:cs="Times New Roman"/>
          <w:lang w:val="en-CA"/>
        </w:rPr>
        <w:t xml:space="preserve"> that</w:t>
      </w:r>
      <w:r w:rsidR="005F71F2" w:rsidRPr="00CC5771">
        <w:rPr>
          <w:rFonts w:ascii="Times New Roman" w:hAnsi="Times New Roman" w:cs="Times New Roman"/>
          <w:lang w:val="en-CA"/>
        </w:rPr>
        <w:t xml:space="preserve"> trans</w:t>
      </w:r>
      <w:r w:rsidR="00A04F90" w:rsidRPr="00CC5771">
        <w:rPr>
          <w:rFonts w:ascii="Times New Roman" w:hAnsi="Times New Roman" w:cs="Times New Roman"/>
          <w:lang w:val="en-CA"/>
        </w:rPr>
        <w:t>gender</w:t>
      </w:r>
      <w:r w:rsidR="005F71F2" w:rsidRPr="00CC5771">
        <w:rPr>
          <w:rFonts w:ascii="Times New Roman" w:hAnsi="Times New Roman" w:cs="Times New Roman"/>
          <w:lang w:val="en-CA"/>
        </w:rPr>
        <w:t xml:space="preserve"> and/or non-binary claimants have used human rights law</w:t>
      </w:r>
      <w:r w:rsidR="000C28B8" w:rsidRPr="00CC5771">
        <w:rPr>
          <w:rFonts w:ascii="Times New Roman" w:hAnsi="Times New Roman" w:cs="Times New Roman"/>
          <w:lang w:val="en-CA"/>
        </w:rPr>
        <w:t>s</w:t>
      </w:r>
      <w:r w:rsidR="005F71F2" w:rsidRPr="00CC5771">
        <w:rPr>
          <w:rFonts w:ascii="Times New Roman" w:hAnsi="Times New Roman" w:cs="Times New Roman"/>
          <w:lang w:val="en-CA"/>
        </w:rPr>
        <w:t xml:space="preserve"> to achieve </w:t>
      </w:r>
      <w:r w:rsidR="00652F66" w:rsidRPr="00CC5771">
        <w:rPr>
          <w:rFonts w:ascii="Times New Roman" w:hAnsi="Times New Roman" w:cs="Times New Roman"/>
          <w:lang w:val="en-CA"/>
        </w:rPr>
        <w:t>important</w:t>
      </w:r>
      <w:r w:rsidR="005F71F2" w:rsidRPr="00CC5771">
        <w:rPr>
          <w:rFonts w:ascii="Times New Roman" w:hAnsi="Times New Roman" w:cs="Times New Roman"/>
          <w:lang w:val="en-CA"/>
        </w:rPr>
        <w:t xml:space="preserve"> goals, including the removal of discriminatory surgical requirements in order to access government-iss</w:t>
      </w:r>
      <w:r w:rsidR="00A4652F" w:rsidRPr="00CC5771">
        <w:rPr>
          <w:rFonts w:ascii="Times New Roman" w:hAnsi="Times New Roman" w:cs="Times New Roman"/>
          <w:lang w:val="en-CA"/>
        </w:rPr>
        <w:t>ued identity documents</w:t>
      </w:r>
      <w:r w:rsidR="00D63906">
        <w:rPr>
          <w:rFonts w:ascii="Times New Roman" w:hAnsi="Times New Roman" w:cs="Times New Roman"/>
          <w:lang w:val="en-CA"/>
        </w:rPr>
        <w:t>,</w:t>
      </w:r>
      <w:r w:rsidR="005F71F2" w:rsidRPr="00CC5771">
        <w:rPr>
          <w:rStyle w:val="FootnoteReference"/>
          <w:rFonts w:ascii="Times New Roman" w:hAnsi="Times New Roman" w:cs="Times New Roman"/>
          <w:lang w:val="en-CA"/>
        </w:rPr>
        <w:footnoteReference w:id="32"/>
      </w:r>
      <w:r w:rsidR="005F71F2" w:rsidRPr="00CC5771">
        <w:rPr>
          <w:rFonts w:ascii="Times New Roman" w:hAnsi="Times New Roman" w:cs="Times New Roman"/>
          <w:lang w:val="en-CA"/>
        </w:rPr>
        <w:t xml:space="preserve"> </w:t>
      </w:r>
      <w:r w:rsidRPr="00CC5771">
        <w:rPr>
          <w:rFonts w:ascii="Times New Roman" w:hAnsi="Times New Roman" w:cs="Times New Roman"/>
          <w:lang w:val="en-CA"/>
        </w:rPr>
        <w:t>and</w:t>
      </w:r>
      <w:r w:rsidR="005F71F2" w:rsidRPr="00CC5771">
        <w:rPr>
          <w:rFonts w:ascii="Times New Roman" w:hAnsi="Times New Roman" w:cs="Times New Roman"/>
          <w:lang w:val="en-CA"/>
        </w:rPr>
        <w:t xml:space="preserve"> to challenge discriminatory policing practices.</w:t>
      </w:r>
      <w:r w:rsidR="005F71F2" w:rsidRPr="00CC5771">
        <w:rPr>
          <w:rStyle w:val="FootnoteReference"/>
          <w:rFonts w:ascii="Times New Roman" w:hAnsi="Times New Roman" w:cs="Times New Roman"/>
          <w:lang w:val="en-CA"/>
        </w:rPr>
        <w:footnoteReference w:id="33"/>
      </w:r>
      <w:r w:rsidR="005F71F2" w:rsidRPr="00CC5771">
        <w:rPr>
          <w:rFonts w:ascii="Times New Roman" w:hAnsi="Times New Roman" w:cs="Times New Roman"/>
          <w:lang w:val="en-CA"/>
        </w:rPr>
        <w:t xml:space="preserve"> As Ashley </w:t>
      </w:r>
      <w:r w:rsidR="00A4652F" w:rsidRPr="00CC5771">
        <w:rPr>
          <w:rFonts w:ascii="Times New Roman" w:hAnsi="Times New Roman" w:cs="Times New Roman"/>
          <w:lang w:val="en-CA"/>
        </w:rPr>
        <w:t>puts it</w:t>
      </w:r>
      <w:r w:rsidR="005F71F2" w:rsidRPr="00CC5771">
        <w:rPr>
          <w:rFonts w:ascii="Times New Roman" w:hAnsi="Times New Roman" w:cs="Times New Roman"/>
          <w:lang w:val="en-CA"/>
        </w:rPr>
        <w:t>, “</w:t>
      </w:r>
      <w:r w:rsidR="00457D41" w:rsidRPr="00CC5771">
        <w:rPr>
          <w:rFonts w:ascii="Times New Roman" w:hAnsi="Times New Roman" w:cs="Times New Roman"/>
          <w:lang w:val="en-CA"/>
        </w:rPr>
        <w:t>A</w:t>
      </w:r>
      <w:r w:rsidR="005F71F2" w:rsidRPr="00CC5771">
        <w:rPr>
          <w:rFonts w:ascii="Times New Roman" w:hAnsi="Times New Roman" w:cs="Times New Roman"/>
          <w:lang w:val="en-CA"/>
        </w:rPr>
        <w:t>nti-discrimination laws are useful</w:t>
      </w:r>
      <w:r w:rsidR="00D63906">
        <w:rPr>
          <w:rFonts w:ascii="Times New Roman" w:hAnsi="Times New Roman" w:cs="Times New Roman"/>
          <w:lang w:val="en-CA"/>
        </w:rPr>
        <w:t xml:space="preserve">. </w:t>
      </w:r>
      <w:r w:rsidR="00EE4451" w:rsidRPr="00CC5771">
        <w:rPr>
          <w:rFonts w:ascii="Times New Roman" w:hAnsi="Times New Roman" w:cs="Times New Roman"/>
          <w:lang w:val="en-CA"/>
        </w:rPr>
        <w:t>…</w:t>
      </w:r>
      <w:r w:rsidR="00D63906">
        <w:rPr>
          <w:rFonts w:ascii="Times New Roman" w:hAnsi="Times New Roman" w:cs="Times New Roman"/>
          <w:lang w:val="en-CA"/>
        </w:rPr>
        <w:t xml:space="preserve"> </w:t>
      </w:r>
      <w:r w:rsidR="005F71F2" w:rsidRPr="00CC5771">
        <w:rPr>
          <w:rFonts w:ascii="Times New Roman" w:hAnsi="Times New Roman" w:cs="Times New Roman"/>
          <w:lang w:val="en-CA"/>
        </w:rPr>
        <w:t>They make our lives easier and happier.”</w:t>
      </w:r>
      <w:r w:rsidR="005F71F2" w:rsidRPr="00CC5771">
        <w:rPr>
          <w:rStyle w:val="FootnoteReference"/>
          <w:rFonts w:ascii="Times New Roman" w:hAnsi="Times New Roman" w:cs="Times New Roman"/>
          <w:lang w:val="en-CA"/>
        </w:rPr>
        <w:footnoteReference w:id="34"/>
      </w:r>
      <w:r w:rsidR="000832E3" w:rsidRPr="00CC5771">
        <w:rPr>
          <w:rFonts w:ascii="Times New Roman" w:hAnsi="Times New Roman" w:cs="Times New Roman"/>
          <w:lang w:val="en-CA"/>
        </w:rPr>
        <w:t xml:space="preserve"> </w:t>
      </w:r>
    </w:p>
    <w:p w14:paraId="66E4A2A9" w14:textId="5A6597D1" w:rsidR="00131463" w:rsidRPr="00CC5771" w:rsidRDefault="00C84D39"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In the end</w:t>
      </w:r>
      <w:r w:rsidR="000832E3" w:rsidRPr="00CC5771">
        <w:rPr>
          <w:rFonts w:ascii="Times New Roman" w:hAnsi="Times New Roman" w:cs="Times New Roman"/>
          <w:lang w:val="en-CA"/>
        </w:rPr>
        <w:t xml:space="preserve">, </w:t>
      </w:r>
      <w:r w:rsidR="00501428" w:rsidRPr="00CC5771">
        <w:rPr>
          <w:rFonts w:ascii="Times New Roman" w:hAnsi="Times New Roman" w:cs="Times New Roman"/>
          <w:lang w:val="en-CA"/>
        </w:rPr>
        <w:t xml:space="preserve">the advent of </w:t>
      </w:r>
      <w:r w:rsidR="000832E3" w:rsidRPr="00CC5771">
        <w:rPr>
          <w:rFonts w:ascii="Times New Roman" w:hAnsi="Times New Roman" w:cs="Times New Roman"/>
          <w:lang w:val="en-CA"/>
        </w:rPr>
        <w:t>human rights protections hold</w:t>
      </w:r>
      <w:r w:rsidR="00501428" w:rsidRPr="00CC5771">
        <w:rPr>
          <w:rFonts w:ascii="Times New Roman" w:hAnsi="Times New Roman" w:cs="Times New Roman"/>
          <w:lang w:val="en-CA"/>
        </w:rPr>
        <w:t>s</w:t>
      </w:r>
      <w:r w:rsidR="000832E3" w:rsidRPr="00CC5771">
        <w:rPr>
          <w:rFonts w:ascii="Times New Roman" w:hAnsi="Times New Roman" w:cs="Times New Roman"/>
          <w:lang w:val="en-CA"/>
        </w:rPr>
        <w:t xml:space="preserve"> the promise of achieving symbolic, educative, and instrumental goals. Whether </w:t>
      </w:r>
      <w:r w:rsidR="00EE4451" w:rsidRPr="00CC5771">
        <w:rPr>
          <w:rFonts w:ascii="Times New Roman" w:hAnsi="Times New Roman" w:cs="Times New Roman"/>
          <w:lang w:val="en-CA"/>
        </w:rPr>
        <w:t>human rights protections</w:t>
      </w:r>
      <w:r w:rsidR="000832E3" w:rsidRPr="00CC5771">
        <w:rPr>
          <w:rFonts w:ascii="Times New Roman" w:hAnsi="Times New Roman" w:cs="Times New Roman"/>
          <w:lang w:val="en-CA"/>
        </w:rPr>
        <w:t xml:space="preserve"> are</w:t>
      </w:r>
      <w:r w:rsidR="00EE4451" w:rsidRPr="00CC5771">
        <w:rPr>
          <w:rFonts w:ascii="Times New Roman" w:hAnsi="Times New Roman" w:cs="Times New Roman"/>
          <w:lang w:val="en-CA"/>
        </w:rPr>
        <w:t xml:space="preserve"> actually</w:t>
      </w:r>
      <w:r w:rsidR="000832E3" w:rsidRPr="00CC5771">
        <w:rPr>
          <w:rFonts w:ascii="Times New Roman" w:hAnsi="Times New Roman" w:cs="Times New Roman"/>
          <w:lang w:val="en-CA"/>
        </w:rPr>
        <w:t xml:space="preserve"> successful</w:t>
      </w:r>
      <w:r w:rsidR="00701259" w:rsidRPr="00CC5771">
        <w:rPr>
          <w:rFonts w:ascii="Times New Roman" w:hAnsi="Times New Roman" w:cs="Times New Roman"/>
          <w:lang w:val="en-CA"/>
        </w:rPr>
        <w:t xml:space="preserve"> in achieving their laudable goals</w:t>
      </w:r>
      <w:r w:rsidR="000832E3" w:rsidRPr="00CC5771">
        <w:rPr>
          <w:rFonts w:ascii="Times New Roman" w:hAnsi="Times New Roman" w:cs="Times New Roman"/>
          <w:lang w:val="en-CA"/>
        </w:rPr>
        <w:t>, however, has become a site of contestation</w:t>
      </w:r>
      <w:r w:rsidR="00A4652F" w:rsidRPr="00CC5771">
        <w:rPr>
          <w:rFonts w:ascii="Times New Roman" w:hAnsi="Times New Roman" w:cs="Times New Roman"/>
          <w:lang w:val="en-CA"/>
        </w:rPr>
        <w:t xml:space="preserve"> within </w:t>
      </w:r>
      <w:r w:rsidR="00252DD8" w:rsidRPr="00CC5771">
        <w:rPr>
          <w:rFonts w:ascii="Times New Roman" w:hAnsi="Times New Roman" w:cs="Times New Roman"/>
          <w:lang w:val="en-CA"/>
        </w:rPr>
        <w:t>the</w:t>
      </w:r>
      <w:r w:rsidR="00A4652F" w:rsidRPr="00CC5771">
        <w:rPr>
          <w:rFonts w:ascii="Times New Roman" w:hAnsi="Times New Roman" w:cs="Times New Roman"/>
          <w:lang w:val="en-CA"/>
        </w:rPr>
        <w:t xml:space="preserve"> burgeoning body of trans legal scholarship</w:t>
      </w:r>
      <w:r w:rsidR="000832E3" w:rsidRPr="00CC5771">
        <w:rPr>
          <w:rFonts w:ascii="Times New Roman" w:hAnsi="Times New Roman" w:cs="Times New Roman"/>
          <w:lang w:val="en-CA"/>
        </w:rPr>
        <w:t xml:space="preserve">. </w:t>
      </w:r>
    </w:p>
    <w:p w14:paraId="56179D1F" w14:textId="4B15E8ED" w:rsidR="008664D7" w:rsidRPr="00461619" w:rsidRDefault="00D63906" w:rsidP="004D0F4E">
      <w:pPr>
        <w:spacing w:after="240" w:line="480" w:lineRule="auto"/>
        <w:rPr>
          <w:rFonts w:ascii="Times New Roman" w:hAnsi="Times New Roman" w:cs="Times New Roman"/>
          <w:b/>
          <w:lang w:val="en-CA"/>
        </w:rPr>
      </w:pPr>
      <w:r w:rsidRPr="00461619">
        <w:rPr>
          <w:rFonts w:ascii="Times New Roman" w:hAnsi="Times New Roman" w:cs="Times New Roman"/>
          <w:b/>
          <w:lang w:val="en-CA"/>
        </w:rPr>
        <w:t xml:space="preserve">2. </w:t>
      </w:r>
      <w:r w:rsidR="008664D7" w:rsidRPr="00461619">
        <w:rPr>
          <w:rFonts w:ascii="Times New Roman" w:hAnsi="Times New Roman" w:cs="Times New Roman"/>
          <w:b/>
          <w:lang w:val="en-CA"/>
        </w:rPr>
        <w:t xml:space="preserve">Human </w:t>
      </w:r>
      <w:r w:rsidRPr="00D63906">
        <w:rPr>
          <w:rFonts w:ascii="Times New Roman" w:hAnsi="Times New Roman" w:cs="Times New Roman"/>
          <w:b/>
          <w:lang w:val="en-CA"/>
        </w:rPr>
        <w:t>Rights Critics</w:t>
      </w:r>
    </w:p>
    <w:p w14:paraId="3B978640" w14:textId="2E65A8F3" w:rsidR="00AF58BC" w:rsidRPr="00CC5771" w:rsidRDefault="00E05DF2"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Despite</w:t>
      </w:r>
      <w:r w:rsidR="00EE4451" w:rsidRPr="00CC5771">
        <w:rPr>
          <w:rFonts w:ascii="Times New Roman" w:hAnsi="Times New Roman" w:cs="Times New Roman"/>
          <w:lang w:val="en-CA"/>
        </w:rPr>
        <w:t xml:space="preserve"> the</w:t>
      </w:r>
      <w:r w:rsidR="00CF1AB3" w:rsidRPr="00CC5771">
        <w:rPr>
          <w:rFonts w:ascii="Times New Roman" w:hAnsi="Times New Roman" w:cs="Times New Roman"/>
          <w:lang w:val="en-CA"/>
        </w:rPr>
        <w:t xml:space="preserve"> promise</w:t>
      </w:r>
      <w:r w:rsidR="00530966" w:rsidRPr="00CC5771">
        <w:rPr>
          <w:rFonts w:ascii="Times New Roman" w:hAnsi="Times New Roman" w:cs="Times New Roman"/>
          <w:lang w:val="en-CA"/>
        </w:rPr>
        <w:t xml:space="preserve"> of human rights law</w:t>
      </w:r>
      <w:r w:rsidRPr="00CC5771">
        <w:rPr>
          <w:rFonts w:ascii="Times New Roman" w:hAnsi="Times New Roman" w:cs="Times New Roman"/>
          <w:lang w:val="en-CA"/>
        </w:rPr>
        <w:t xml:space="preserve"> as a mechanism to redress the pervasive levels of discrimination, harassment, and violence experienced by trans</w:t>
      </w:r>
      <w:r w:rsidR="00A04F90" w:rsidRPr="00CC5771">
        <w:rPr>
          <w:rFonts w:ascii="Times New Roman" w:hAnsi="Times New Roman" w:cs="Times New Roman"/>
          <w:lang w:val="en-CA"/>
        </w:rPr>
        <w:t>gender</w:t>
      </w:r>
      <w:r w:rsidRPr="00CC5771">
        <w:rPr>
          <w:rFonts w:ascii="Times New Roman" w:hAnsi="Times New Roman" w:cs="Times New Roman"/>
          <w:lang w:val="en-CA"/>
        </w:rPr>
        <w:t xml:space="preserve"> and/or non-binary </w:t>
      </w:r>
      <w:r w:rsidRPr="00CC5771">
        <w:rPr>
          <w:rFonts w:ascii="Times New Roman" w:hAnsi="Times New Roman" w:cs="Times New Roman"/>
          <w:lang w:val="en-CA"/>
        </w:rPr>
        <w:lastRenderedPageBreak/>
        <w:t>communities</w:t>
      </w:r>
      <w:r w:rsidR="00904EDB" w:rsidRPr="00CC5771">
        <w:rPr>
          <w:rFonts w:ascii="Times New Roman" w:hAnsi="Times New Roman" w:cs="Times New Roman"/>
          <w:lang w:val="en-CA"/>
        </w:rPr>
        <w:t xml:space="preserve">, </w:t>
      </w:r>
      <w:r w:rsidR="00B23632" w:rsidRPr="00CC5771">
        <w:rPr>
          <w:rFonts w:ascii="Times New Roman" w:hAnsi="Times New Roman" w:cs="Times New Roman"/>
          <w:lang w:val="en-CA"/>
        </w:rPr>
        <w:t xml:space="preserve">scholars </w:t>
      </w:r>
      <w:r w:rsidR="00530966" w:rsidRPr="00CC5771">
        <w:rPr>
          <w:rFonts w:ascii="Times New Roman" w:hAnsi="Times New Roman" w:cs="Times New Roman"/>
          <w:lang w:val="en-CA"/>
        </w:rPr>
        <w:t xml:space="preserve">have developed a series of </w:t>
      </w:r>
      <w:r w:rsidR="00025280" w:rsidRPr="00CC5771">
        <w:rPr>
          <w:rFonts w:ascii="Times New Roman" w:hAnsi="Times New Roman" w:cs="Times New Roman"/>
          <w:lang w:val="en-CA"/>
        </w:rPr>
        <w:t>powerful</w:t>
      </w:r>
      <w:r w:rsidR="000B5BA7" w:rsidRPr="00CC5771">
        <w:rPr>
          <w:rFonts w:ascii="Times New Roman" w:hAnsi="Times New Roman" w:cs="Times New Roman"/>
          <w:lang w:val="en-CA"/>
        </w:rPr>
        <w:t xml:space="preserve"> </w:t>
      </w:r>
      <w:r w:rsidR="00530966" w:rsidRPr="00CC5771">
        <w:rPr>
          <w:rFonts w:ascii="Times New Roman" w:hAnsi="Times New Roman" w:cs="Times New Roman"/>
          <w:lang w:val="en-CA"/>
        </w:rPr>
        <w:t>criticisms</w:t>
      </w:r>
      <w:r w:rsidR="00F717E2" w:rsidRPr="00CC5771">
        <w:rPr>
          <w:rFonts w:ascii="Times New Roman" w:hAnsi="Times New Roman" w:cs="Times New Roman"/>
          <w:lang w:val="en-CA"/>
        </w:rPr>
        <w:t xml:space="preserve"> </w:t>
      </w:r>
      <w:r w:rsidR="00904EDB" w:rsidRPr="00CC5771">
        <w:rPr>
          <w:rFonts w:ascii="Times New Roman" w:hAnsi="Times New Roman" w:cs="Times New Roman"/>
          <w:lang w:val="en-CA"/>
        </w:rPr>
        <w:t>about</w:t>
      </w:r>
      <w:r w:rsidR="00F717E2" w:rsidRPr="00CC5771">
        <w:rPr>
          <w:rFonts w:ascii="Times New Roman" w:hAnsi="Times New Roman" w:cs="Times New Roman"/>
          <w:lang w:val="en-CA"/>
        </w:rPr>
        <w:t xml:space="preserve"> these recent developments</w:t>
      </w:r>
      <w:r w:rsidR="00530966" w:rsidRPr="00CC5771">
        <w:rPr>
          <w:rFonts w:ascii="Times New Roman" w:hAnsi="Times New Roman" w:cs="Times New Roman"/>
          <w:lang w:val="en-CA"/>
        </w:rPr>
        <w:t>.</w:t>
      </w:r>
      <w:r w:rsidR="000B5BA7" w:rsidRPr="00CC5771">
        <w:rPr>
          <w:rFonts w:ascii="Times New Roman" w:hAnsi="Times New Roman" w:cs="Times New Roman"/>
          <w:lang w:val="en-CA"/>
        </w:rPr>
        <w:t xml:space="preserve"> </w:t>
      </w:r>
      <w:r w:rsidR="001E0635" w:rsidRPr="00CC5771">
        <w:rPr>
          <w:rFonts w:ascii="Times New Roman" w:hAnsi="Times New Roman" w:cs="Times New Roman"/>
          <w:lang w:val="en-CA"/>
        </w:rPr>
        <w:t xml:space="preserve">In much of the writing that is critical </w:t>
      </w:r>
      <w:r w:rsidR="00FA0A97" w:rsidRPr="00CC5771">
        <w:rPr>
          <w:rFonts w:ascii="Times New Roman" w:hAnsi="Times New Roman" w:cs="Times New Roman"/>
          <w:lang w:val="en-CA"/>
        </w:rPr>
        <w:t xml:space="preserve">of </w:t>
      </w:r>
      <w:r w:rsidR="001E0635" w:rsidRPr="00CC5771">
        <w:rPr>
          <w:rFonts w:ascii="Times New Roman" w:hAnsi="Times New Roman" w:cs="Times New Roman"/>
          <w:lang w:val="en-CA"/>
        </w:rPr>
        <w:t xml:space="preserve">human rights recognition, authors are particularly </w:t>
      </w:r>
      <w:r w:rsidR="00EE4451" w:rsidRPr="00CC5771">
        <w:rPr>
          <w:rFonts w:ascii="Times New Roman" w:hAnsi="Times New Roman" w:cs="Times New Roman"/>
          <w:lang w:val="en-CA"/>
        </w:rPr>
        <w:t>t</w:t>
      </w:r>
      <w:r w:rsidR="000B5BA7" w:rsidRPr="00CC5771">
        <w:rPr>
          <w:rFonts w:ascii="Times New Roman" w:hAnsi="Times New Roman" w:cs="Times New Roman"/>
          <w:lang w:val="en-CA"/>
        </w:rPr>
        <w:t>roubled by</w:t>
      </w:r>
      <w:r w:rsidRPr="00CC5771">
        <w:rPr>
          <w:rFonts w:ascii="Times New Roman" w:hAnsi="Times New Roman" w:cs="Times New Roman"/>
          <w:lang w:val="en-CA"/>
        </w:rPr>
        <w:t xml:space="preserve"> the advent and proliferation of</w:t>
      </w:r>
      <w:r w:rsidR="000B5BA7" w:rsidRPr="00CC5771">
        <w:rPr>
          <w:rFonts w:ascii="Times New Roman" w:hAnsi="Times New Roman" w:cs="Times New Roman"/>
          <w:lang w:val="en-CA"/>
        </w:rPr>
        <w:t xml:space="preserve"> hate crime laws. Critics have</w:t>
      </w:r>
      <w:r w:rsidR="00F717E2" w:rsidRPr="00CC5771">
        <w:rPr>
          <w:rFonts w:ascii="Times New Roman" w:hAnsi="Times New Roman" w:cs="Times New Roman"/>
          <w:lang w:val="en-CA"/>
        </w:rPr>
        <w:t xml:space="preserve"> </w:t>
      </w:r>
      <w:r w:rsidR="000B5BA7" w:rsidRPr="00CC5771">
        <w:rPr>
          <w:rFonts w:ascii="Times New Roman" w:hAnsi="Times New Roman" w:cs="Times New Roman"/>
          <w:lang w:val="en-CA"/>
        </w:rPr>
        <w:t>suggested that hate cr</w:t>
      </w:r>
      <w:r w:rsidR="00706C16" w:rsidRPr="00CC5771">
        <w:rPr>
          <w:rFonts w:ascii="Times New Roman" w:hAnsi="Times New Roman" w:cs="Times New Roman"/>
          <w:lang w:val="en-CA"/>
        </w:rPr>
        <w:t>ime laws fail to deter violence</w:t>
      </w:r>
      <w:r w:rsidR="000B5BA7" w:rsidRPr="00CC5771">
        <w:rPr>
          <w:rStyle w:val="FootnoteReference"/>
          <w:rFonts w:ascii="Times New Roman" w:hAnsi="Times New Roman" w:cs="Times New Roman"/>
          <w:lang w:val="en-CA"/>
        </w:rPr>
        <w:footnoteReference w:id="35"/>
      </w:r>
      <w:r w:rsidR="00706C16" w:rsidRPr="00CC5771">
        <w:rPr>
          <w:rFonts w:ascii="Times New Roman" w:hAnsi="Times New Roman" w:cs="Times New Roman"/>
          <w:lang w:val="en-CA"/>
        </w:rPr>
        <w:t xml:space="preserve"> and </w:t>
      </w:r>
      <w:r w:rsidRPr="00CC5771">
        <w:rPr>
          <w:rFonts w:ascii="Times New Roman" w:hAnsi="Times New Roman" w:cs="Times New Roman"/>
          <w:lang w:val="en-CA"/>
        </w:rPr>
        <w:t xml:space="preserve">constitute </w:t>
      </w:r>
      <w:r w:rsidR="00706C16" w:rsidRPr="00CC5771">
        <w:rPr>
          <w:rFonts w:ascii="Times New Roman" w:hAnsi="Times New Roman" w:cs="Times New Roman"/>
          <w:lang w:val="en-CA"/>
        </w:rPr>
        <w:t>“reactionary”</w:t>
      </w:r>
      <w:r w:rsidRPr="00CC5771">
        <w:rPr>
          <w:rFonts w:ascii="Times New Roman" w:hAnsi="Times New Roman" w:cs="Times New Roman"/>
          <w:lang w:val="en-CA"/>
        </w:rPr>
        <w:t xml:space="preserve"> legal instruments</w:t>
      </w:r>
      <w:r w:rsidR="00706C16" w:rsidRPr="00CC5771">
        <w:rPr>
          <w:rFonts w:ascii="Times New Roman" w:hAnsi="Times New Roman" w:cs="Times New Roman"/>
          <w:lang w:val="en-CA"/>
        </w:rPr>
        <w:t>.</w:t>
      </w:r>
      <w:r w:rsidR="00706C16" w:rsidRPr="00CC5771">
        <w:rPr>
          <w:rStyle w:val="FootnoteReference"/>
          <w:rFonts w:ascii="Times New Roman" w:hAnsi="Times New Roman" w:cs="Times New Roman"/>
          <w:lang w:val="en-CA"/>
        </w:rPr>
        <w:footnoteReference w:id="36"/>
      </w:r>
      <w:r w:rsidR="00EE4451" w:rsidRPr="00CC5771">
        <w:rPr>
          <w:rFonts w:ascii="Times New Roman" w:hAnsi="Times New Roman" w:cs="Times New Roman"/>
          <w:lang w:val="en-CA"/>
        </w:rPr>
        <w:t xml:space="preserve"> </w:t>
      </w:r>
      <w:r w:rsidR="00706C16" w:rsidRPr="00CC5771">
        <w:rPr>
          <w:rFonts w:ascii="Times New Roman" w:hAnsi="Times New Roman" w:cs="Times New Roman"/>
          <w:lang w:val="en-CA"/>
        </w:rPr>
        <w:t>This critique</w:t>
      </w:r>
      <w:r w:rsidR="00F717E2" w:rsidRPr="00CC5771">
        <w:rPr>
          <w:rFonts w:ascii="Times New Roman" w:hAnsi="Times New Roman" w:cs="Times New Roman"/>
          <w:lang w:val="en-CA"/>
        </w:rPr>
        <w:t>, which</w:t>
      </w:r>
      <w:r w:rsidR="0020535A" w:rsidRPr="00CC5771">
        <w:rPr>
          <w:rFonts w:ascii="Times New Roman" w:hAnsi="Times New Roman" w:cs="Times New Roman"/>
          <w:lang w:val="en-CA"/>
        </w:rPr>
        <w:t xml:space="preserve"> </w:t>
      </w:r>
      <w:r w:rsidR="00706C16" w:rsidRPr="00CC5771">
        <w:rPr>
          <w:rFonts w:ascii="Times New Roman" w:hAnsi="Times New Roman" w:cs="Times New Roman"/>
          <w:lang w:val="en-CA"/>
        </w:rPr>
        <w:t xml:space="preserve">tends to blend concerns about hate crime laws with </w:t>
      </w:r>
      <w:r w:rsidR="00C460C5" w:rsidRPr="00CC5771">
        <w:rPr>
          <w:rFonts w:ascii="Times New Roman" w:hAnsi="Times New Roman" w:cs="Times New Roman"/>
          <w:lang w:val="en-CA"/>
        </w:rPr>
        <w:t xml:space="preserve">concerns about </w:t>
      </w:r>
      <w:r w:rsidR="00706C16" w:rsidRPr="00CC5771">
        <w:rPr>
          <w:rFonts w:ascii="Times New Roman" w:hAnsi="Times New Roman" w:cs="Times New Roman"/>
          <w:lang w:val="en-CA"/>
        </w:rPr>
        <w:t>anti-discrimination protections</w:t>
      </w:r>
      <w:r w:rsidR="00F717E2" w:rsidRPr="00CC5771">
        <w:rPr>
          <w:rFonts w:ascii="Times New Roman" w:hAnsi="Times New Roman" w:cs="Times New Roman"/>
          <w:lang w:val="en-CA"/>
        </w:rPr>
        <w:t>,</w:t>
      </w:r>
      <w:r w:rsidR="00706C16" w:rsidRPr="00CC5771">
        <w:rPr>
          <w:rFonts w:ascii="Times New Roman" w:hAnsi="Times New Roman" w:cs="Times New Roman"/>
          <w:lang w:val="en-CA"/>
        </w:rPr>
        <w:t xml:space="preserve"> is particularly </w:t>
      </w:r>
      <w:r w:rsidR="00470F85" w:rsidRPr="00CC5771">
        <w:rPr>
          <w:rFonts w:ascii="Times New Roman" w:hAnsi="Times New Roman" w:cs="Times New Roman"/>
          <w:lang w:val="en-CA"/>
        </w:rPr>
        <w:t xml:space="preserve">strong </w:t>
      </w:r>
      <w:r w:rsidR="00706C16" w:rsidRPr="00CC5771">
        <w:rPr>
          <w:rFonts w:ascii="Times New Roman" w:hAnsi="Times New Roman" w:cs="Times New Roman"/>
          <w:lang w:val="en-CA"/>
        </w:rPr>
        <w:t>in the United States</w:t>
      </w:r>
      <w:r w:rsidR="00904EDB" w:rsidRPr="00CC5771">
        <w:rPr>
          <w:rFonts w:ascii="Times New Roman" w:hAnsi="Times New Roman" w:cs="Times New Roman"/>
          <w:lang w:val="en-CA"/>
        </w:rPr>
        <w:t>,</w:t>
      </w:r>
      <w:r w:rsidR="00F717E2" w:rsidRPr="00CC5771">
        <w:rPr>
          <w:rFonts w:ascii="Times New Roman" w:hAnsi="Times New Roman" w:cs="Times New Roman"/>
          <w:lang w:val="en-CA"/>
        </w:rPr>
        <w:t xml:space="preserve"> where the two instruments have often been legislatively tied together</w:t>
      </w:r>
      <w:r w:rsidR="00706C16" w:rsidRPr="00CC5771">
        <w:rPr>
          <w:rFonts w:ascii="Times New Roman" w:hAnsi="Times New Roman" w:cs="Times New Roman"/>
          <w:lang w:val="en-CA"/>
        </w:rPr>
        <w:t xml:space="preserve">. </w:t>
      </w:r>
      <w:r w:rsidR="00F8095E" w:rsidRPr="00CC5771">
        <w:rPr>
          <w:rFonts w:ascii="Times New Roman" w:hAnsi="Times New Roman" w:cs="Times New Roman"/>
          <w:lang w:val="en-CA"/>
        </w:rPr>
        <w:t>While</w:t>
      </w:r>
      <w:r w:rsidR="00706C16" w:rsidRPr="00CC5771">
        <w:rPr>
          <w:rFonts w:ascii="Times New Roman" w:hAnsi="Times New Roman" w:cs="Times New Roman"/>
          <w:lang w:val="en-CA"/>
        </w:rPr>
        <w:t xml:space="preserve"> Bill C-16 amended both the </w:t>
      </w:r>
      <w:r w:rsidR="00706C16" w:rsidRPr="00CC5771">
        <w:rPr>
          <w:rFonts w:ascii="Times New Roman" w:hAnsi="Times New Roman" w:cs="Times New Roman"/>
          <w:i/>
          <w:lang w:val="en-CA"/>
        </w:rPr>
        <w:t>Canadian Human Rights Act</w:t>
      </w:r>
      <w:r w:rsidR="00706C16" w:rsidRPr="00CC5771">
        <w:rPr>
          <w:rFonts w:ascii="Times New Roman" w:hAnsi="Times New Roman" w:cs="Times New Roman"/>
          <w:lang w:val="en-CA"/>
        </w:rPr>
        <w:t xml:space="preserve"> and the</w:t>
      </w:r>
      <w:r w:rsidR="00C00E3B" w:rsidRPr="00CC5771">
        <w:rPr>
          <w:rFonts w:ascii="Times New Roman" w:hAnsi="Times New Roman" w:cs="Times New Roman"/>
          <w:lang w:val="en-CA"/>
        </w:rPr>
        <w:t xml:space="preserve"> hate crimes provisions of the</w:t>
      </w:r>
      <w:r w:rsidR="00706C16" w:rsidRPr="00CC5771">
        <w:rPr>
          <w:rFonts w:ascii="Times New Roman" w:hAnsi="Times New Roman" w:cs="Times New Roman"/>
          <w:lang w:val="en-CA"/>
        </w:rPr>
        <w:t xml:space="preserve"> </w:t>
      </w:r>
      <w:r w:rsidR="00706C16" w:rsidRPr="00CC5771">
        <w:rPr>
          <w:rFonts w:ascii="Times New Roman" w:hAnsi="Times New Roman" w:cs="Times New Roman"/>
          <w:i/>
          <w:lang w:val="en-CA"/>
        </w:rPr>
        <w:t>Criminal Code</w:t>
      </w:r>
      <w:r w:rsidR="00706C16" w:rsidRPr="00CC5771">
        <w:rPr>
          <w:rFonts w:ascii="Times New Roman" w:hAnsi="Times New Roman" w:cs="Times New Roman"/>
          <w:lang w:val="en-CA"/>
        </w:rPr>
        <w:t>, Canada</w:t>
      </w:r>
      <w:r w:rsidR="00912EC7">
        <w:rPr>
          <w:rFonts w:ascii="Times New Roman" w:hAnsi="Times New Roman" w:cs="Times New Roman"/>
          <w:lang w:val="en-CA"/>
        </w:rPr>
        <w:t>’</w:t>
      </w:r>
      <w:r w:rsidR="00706C16" w:rsidRPr="00CC5771">
        <w:rPr>
          <w:rFonts w:ascii="Times New Roman" w:hAnsi="Times New Roman" w:cs="Times New Roman"/>
          <w:lang w:val="en-CA"/>
        </w:rPr>
        <w:t xml:space="preserve">s federal, provincial, and territorial human rights tribunals do not have the power to impose criminal </w:t>
      </w:r>
      <w:r w:rsidR="004A0982" w:rsidRPr="00CC5771">
        <w:rPr>
          <w:rFonts w:ascii="Times New Roman" w:hAnsi="Times New Roman" w:cs="Times New Roman"/>
          <w:lang w:val="en-CA"/>
        </w:rPr>
        <w:t>sentences</w:t>
      </w:r>
      <w:r w:rsidR="000641DD">
        <w:rPr>
          <w:rFonts w:ascii="Times New Roman" w:hAnsi="Times New Roman" w:cs="Times New Roman"/>
          <w:lang w:val="en-CA"/>
        </w:rPr>
        <w:t>—</w:t>
      </w:r>
      <w:r w:rsidR="00706C16" w:rsidRPr="00CC5771">
        <w:rPr>
          <w:rFonts w:ascii="Times New Roman" w:hAnsi="Times New Roman" w:cs="Times New Roman"/>
          <w:lang w:val="en-CA"/>
        </w:rPr>
        <w:t xml:space="preserve">a point that </w:t>
      </w:r>
      <w:r w:rsidR="00C460C5" w:rsidRPr="00CC5771">
        <w:rPr>
          <w:rFonts w:ascii="Times New Roman" w:hAnsi="Times New Roman" w:cs="Times New Roman"/>
          <w:lang w:val="en-CA"/>
        </w:rPr>
        <w:t xml:space="preserve">legal experts </w:t>
      </w:r>
      <w:r w:rsidR="00706C16" w:rsidRPr="00CC5771">
        <w:rPr>
          <w:rFonts w:ascii="Times New Roman" w:hAnsi="Times New Roman" w:cs="Times New Roman"/>
          <w:lang w:val="en-CA"/>
        </w:rPr>
        <w:t>such as Brenda Cossman have repeatedly made to</w:t>
      </w:r>
      <w:r w:rsidR="0020535A" w:rsidRPr="00CC5771">
        <w:rPr>
          <w:rFonts w:ascii="Times New Roman" w:hAnsi="Times New Roman" w:cs="Times New Roman"/>
          <w:lang w:val="en-CA"/>
        </w:rPr>
        <w:t xml:space="preserve"> rectify inaccurate claims propagated by</w:t>
      </w:r>
      <w:r w:rsidR="00706C16" w:rsidRPr="00CC5771">
        <w:rPr>
          <w:rFonts w:ascii="Times New Roman" w:hAnsi="Times New Roman" w:cs="Times New Roman"/>
          <w:lang w:val="en-CA"/>
        </w:rPr>
        <w:t xml:space="preserve"> commentators such as Jordan Peterson.</w:t>
      </w:r>
      <w:r w:rsidR="00706C16" w:rsidRPr="00CC5771">
        <w:rPr>
          <w:rStyle w:val="FootnoteReference"/>
          <w:rFonts w:ascii="Times New Roman" w:hAnsi="Times New Roman" w:cs="Times New Roman"/>
          <w:lang w:val="en-CA"/>
        </w:rPr>
        <w:footnoteReference w:id="37"/>
      </w:r>
      <w:r w:rsidR="00706C16" w:rsidRPr="00CC5771">
        <w:rPr>
          <w:rFonts w:ascii="Times New Roman" w:hAnsi="Times New Roman" w:cs="Times New Roman"/>
          <w:lang w:val="en-CA"/>
        </w:rPr>
        <w:t xml:space="preserve"> </w:t>
      </w:r>
    </w:p>
    <w:p w14:paraId="6E4528CA" w14:textId="47A0B09C" w:rsidR="00E05DF2" w:rsidRPr="00CC5771" w:rsidRDefault="00AF58BC"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 xml:space="preserve">Setting aside the important concerns </w:t>
      </w:r>
      <w:r w:rsidR="00E05DF2" w:rsidRPr="00CC5771">
        <w:rPr>
          <w:rFonts w:ascii="Times New Roman" w:hAnsi="Times New Roman" w:cs="Times New Roman"/>
          <w:lang w:val="en-CA"/>
        </w:rPr>
        <w:t>associated with hate crime legislation</w:t>
      </w:r>
      <w:r w:rsidRPr="00CC5771">
        <w:rPr>
          <w:rFonts w:ascii="Times New Roman" w:hAnsi="Times New Roman" w:cs="Times New Roman"/>
          <w:lang w:val="en-CA"/>
        </w:rPr>
        <w:t xml:space="preserve">, critics have </w:t>
      </w:r>
      <w:r w:rsidR="00CB42A4" w:rsidRPr="00CC5771">
        <w:rPr>
          <w:rFonts w:ascii="Times New Roman" w:hAnsi="Times New Roman" w:cs="Times New Roman"/>
          <w:lang w:val="en-CA"/>
        </w:rPr>
        <w:t xml:space="preserve">also </w:t>
      </w:r>
      <w:r w:rsidRPr="00CC5771">
        <w:rPr>
          <w:rFonts w:ascii="Times New Roman" w:hAnsi="Times New Roman" w:cs="Times New Roman"/>
          <w:lang w:val="en-CA"/>
        </w:rPr>
        <w:t xml:space="preserve">argued that </w:t>
      </w:r>
      <w:r w:rsidR="0020535A" w:rsidRPr="00CC5771">
        <w:rPr>
          <w:rFonts w:ascii="Times New Roman" w:hAnsi="Times New Roman" w:cs="Times New Roman"/>
          <w:lang w:val="en-CA"/>
        </w:rPr>
        <w:t xml:space="preserve">discrimination-focused </w:t>
      </w:r>
      <w:r w:rsidRPr="00CC5771">
        <w:rPr>
          <w:rFonts w:ascii="Times New Roman" w:hAnsi="Times New Roman" w:cs="Times New Roman"/>
          <w:lang w:val="en-CA"/>
        </w:rPr>
        <w:t>human rights law</w:t>
      </w:r>
      <w:r w:rsidR="00904EDB" w:rsidRPr="00CC5771">
        <w:rPr>
          <w:rFonts w:ascii="Times New Roman" w:hAnsi="Times New Roman" w:cs="Times New Roman"/>
          <w:lang w:val="en-CA"/>
        </w:rPr>
        <w:t xml:space="preserve"> itself</w:t>
      </w:r>
      <w:r w:rsidR="00E05DF2" w:rsidRPr="00CC5771">
        <w:rPr>
          <w:rFonts w:ascii="Times New Roman" w:hAnsi="Times New Roman" w:cs="Times New Roman"/>
          <w:lang w:val="en-CA"/>
        </w:rPr>
        <w:t xml:space="preserve"> suffers from a variety of </w:t>
      </w:r>
      <w:r w:rsidR="00904EDB" w:rsidRPr="00CC5771">
        <w:rPr>
          <w:rFonts w:ascii="Times New Roman" w:hAnsi="Times New Roman" w:cs="Times New Roman"/>
          <w:lang w:val="en-CA"/>
        </w:rPr>
        <w:t>deficiencies</w:t>
      </w:r>
      <w:r w:rsidR="00E05DF2" w:rsidRPr="00CC5771">
        <w:rPr>
          <w:rFonts w:ascii="Times New Roman" w:hAnsi="Times New Roman" w:cs="Times New Roman"/>
          <w:lang w:val="en-CA"/>
        </w:rPr>
        <w:t xml:space="preserve">. Among other things, </w:t>
      </w:r>
      <w:r w:rsidR="00622629" w:rsidRPr="00CC5771">
        <w:rPr>
          <w:rFonts w:ascii="Times New Roman" w:hAnsi="Times New Roman" w:cs="Times New Roman"/>
          <w:lang w:val="en-CA"/>
        </w:rPr>
        <w:t>scholars</w:t>
      </w:r>
      <w:r w:rsidR="00E05DF2" w:rsidRPr="00CC5771">
        <w:rPr>
          <w:rFonts w:ascii="Times New Roman" w:hAnsi="Times New Roman" w:cs="Times New Roman"/>
          <w:lang w:val="en-CA"/>
        </w:rPr>
        <w:t xml:space="preserve"> have suggested that </w:t>
      </w:r>
      <w:r w:rsidR="00F717E2" w:rsidRPr="00CC5771">
        <w:rPr>
          <w:rFonts w:ascii="Times New Roman" w:hAnsi="Times New Roman" w:cs="Times New Roman"/>
          <w:lang w:val="en-CA"/>
        </w:rPr>
        <w:t>human rights laws simplify inequality, uphold</w:t>
      </w:r>
      <w:r w:rsidRPr="00CC5771">
        <w:rPr>
          <w:rFonts w:ascii="Times New Roman" w:hAnsi="Times New Roman" w:cs="Times New Roman"/>
          <w:lang w:val="en-CA"/>
        </w:rPr>
        <w:t xml:space="preserve"> existi</w:t>
      </w:r>
      <w:r w:rsidR="00F717E2" w:rsidRPr="00CC5771">
        <w:rPr>
          <w:rFonts w:ascii="Times New Roman" w:hAnsi="Times New Roman" w:cs="Times New Roman"/>
          <w:lang w:val="en-CA"/>
        </w:rPr>
        <w:t>ng power structures, and favour</w:t>
      </w:r>
      <w:r w:rsidRPr="00CC5771">
        <w:rPr>
          <w:rFonts w:ascii="Times New Roman" w:hAnsi="Times New Roman" w:cs="Times New Roman"/>
          <w:lang w:val="en-CA"/>
        </w:rPr>
        <w:t xml:space="preserve"> </w:t>
      </w:r>
      <w:r w:rsidR="00C00E3B" w:rsidRPr="00CC5771">
        <w:rPr>
          <w:rFonts w:ascii="Times New Roman" w:hAnsi="Times New Roman" w:cs="Times New Roman"/>
          <w:lang w:val="en-CA"/>
        </w:rPr>
        <w:t xml:space="preserve">the most economically privileged members of trans and/or non-binary communities. </w:t>
      </w:r>
    </w:p>
    <w:p w14:paraId="45737A48" w14:textId="1E58330A" w:rsidR="00904EDB" w:rsidRPr="00CC5771" w:rsidRDefault="00C00E3B"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When it comes to the simplification of inequality, critics have noted that human rights law</w:t>
      </w:r>
      <w:r w:rsidR="00912EC7">
        <w:rPr>
          <w:rFonts w:ascii="Times New Roman" w:hAnsi="Times New Roman" w:cs="Times New Roman"/>
          <w:lang w:val="en-CA"/>
        </w:rPr>
        <w:t>’</w:t>
      </w:r>
      <w:r w:rsidRPr="00CC5771">
        <w:rPr>
          <w:rFonts w:ascii="Times New Roman" w:hAnsi="Times New Roman" w:cs="Times New Roman"/>
          <w:lang w:val="en-CA"/>
        </w:rPr>
        <w:t xml:space="preserve">s individualized approach fails to attend to the realities of </w:t>
      </w:r>
      <w:r w:rsidR="00597738" w:rsidRPr="00CC5771">
        <w:rPr>
          <w:rFonts w:ascii="Times New Roman" w:hAnsi="Times New Roman" w:cs="Times New Roman"/>
          <w:lang w:val="en-CA"/>
        </w:rPr>
        <w:t xml:space="preserve">systemic </w:t>
      </w:r>
      <w:r w:rsidRPr="00CC5771">
        <w:rPr>
          <w:rFonts w:ascii="Times New Roman" w:hAnsi="Times New Roman" w:cs="Times New Roman"/>
          <w:lang w:val="en-CA"/>
        </w:rPr>
        <w:t xml:space="preserve">discrimination. As Dean Spade </w:t>
      </w:r>
      <w:r w:rsidRPr="00CC5771">
        <w:rPr>
          <w:rFonts w:ascii="Times New Roman" w:hAnsi="Times New Roman" w:cs="Times New Roman"/>
          <w:lang w:val="en-CA"/>
        </w:rPr>
        <w:lastRenderedPageBreak/>
        <w:t xml:space="preserve">argues, </w:t>
      </w:r>
      <w:r w:rsidR="00CB42A4" w:rsidRPr="00CC5771">
        <w:rPr>
          <w:rFonts w:ascii="Times New Roman" w:hAnsi="Times New Roman" w:cs="Times New Roman"/>
          <w:lang w:val="en-CA"/>
        </w:rPr>
        <w:t>human rights</w:t>
      </w:r>
      <w:r w:rsidRPr="00CC5771">
        <w:rPr>
          <w:rFonts w:ascii="Times New Roman" w:hAnsi="Times New Roman" w:cs="Times New Roman"/>
          <w:lang w:val="en-CA"/>
        </w:rPr>
        <w:t xml:space="preserve"> law presupposes a “victim” and a “perpetrator”</w:t>
      </w:r>
      <w:r w:rsidR="00597738" w:rsidRPr="00CC5771">
        <w:rPr>
          <w:rFonts w:ascii="Times New Roman" w:hAnsi="Times New Roman" w:cs="Times New Roman"/>
          <w:lang w:val="en-CA"/>
        </w:rPr>
        <w:t xml:space="preserve"> narrative</w:t>
      </w:r>
      <w:r w:rsidRPr="00CC5771">
        <w:rPr>
          <w:rFonts w:ascii="Times New Roman" w:hAnsi="Times New Roman" w:cs="Times New Roman"/>
          <w:lang w:val="en-CA"/>
        </w:rPr>
        <w:t>,</w:t>
      </w:r>
      <w:r w:rsidRPr="00CC5771">
        <w:rPr>
          <w:rStyle w:val="FootnoteReference"/>
          <w:rFonts w:ascii="Times New Roman" w:hAnsi="Times New Roman" w:cs="Times New Roman"/>
          <w:lang w:val="en-CA"/>
        </w:rPr>
        <w:footnoteReference w:id="38"/>
      </w:r>
      <w:r w:rsidRPr="00CC5771">
        <w:rPr>
          <w:rFonts w:ascii="Times New Roman" w:hAnsi="Times New Roman" w:cs="Times New Roman"/>
          <w:lang w:val="en-CA"/>
        </w:rPr>
        <w:t xml:space="preserve"> such that discrimination is conceptualized as a harm that one</w:t>
      </w:r>
      <w:r w:rsidR="00904EDB" w:rsidRPr="00CC5771">
        <w:rPr>
          <w:rFonts w:ascii="Times New Roman" w:hAnsi="Times New Roman" w:cs="Times New Roman"/>
          <w:lang w:val="en-CA"/>
        </w:rPr>
        <w:t xml:space="preserve"> </w:t>
      </w:r>
      <w:r w:rsidR="00252DD8" w:rsidRPr="00CC5771">
        <w:rPr>
          <w:rFonts w:ascii="Times New Roman" w:hAnsi="Times New Roman" w:cs="Times New Roman"/>
          <w:lang w:val="en-CA"/>
        </w:rPr>
        <w:t>actor</w:t>
      </w:r>
      <w:r w:rsidR="00441226" w:rsidRPr="00CC5771">
        <w:rPr>
          <w:rFonts w:ascii="Times New Roman" w:hAnsi="Times New Roman" w:cs="Times New Roman"/>
          <w:lang w:val="en-CA"/>
        </w:rPr>
        <w:t xml:space="preserve"> </w:t>
      </w:r>
      <w:r w:rsidRPr="00CC5771">
        <w:rPr>
          <w:rFonts w:ascii="Times New Roman" w:hAnsi="Times New Roman" w:cs="Times New Roman"/>
          <w:lang w:val="en-CA"/>
        </w:rPr>
        <w:t>does to another.</w:t>
      </w:r>
      <w:r w:rsidRPr="00CC5771">
        <w:rPr>
          <w:rStyle w:val="FootnoteReference"/>
          <w:rFonts w:ascii="Times New Roman" w:hAnsi="Times New Roman" w:cs="Times New Roman"/>
          <w:lang w:val="en-CA"/>
        </w:rPr>
        <w:footnoteReference w:id="39"/>
      </w:r>
      <w:r w:rsidRPr="00CC5771">
        <w:rPr>
          <w:rFonts w:ascii="Times New Roman" w:hAnsi="Times New Roman" w:cs="Times New Roman"/>
          <w:lang w:val="en-CA"/>
        </w:rPr>
        <w:t xml:space="preserve"> This process of individual</w:t>
      </w:r>
      <w:r w:rsidR="00597738" w:rsidRPr="00CC5771">
        <w:rPr>
          <w:rFonts w:ascii="Times New Roman" w:hAnsi="Times New Roman" w:cs="Times New Roman"/>
          <w:lang w:val="en-CA"/>
        </w:rPr>
        <w:t>ization obscures the complex constellation</w:t>
      </w:r>
      <w:r w:rsidRPr="00CC5771">
        <w:rPr>
          <w:rFonts w:ascii="Times New Roman" w:hAnsi="Times New Roman" w:cs="Times New Roman"/>
          <w:lang w:val="en-CA"/>
        </w:rPr>
        <w:t xml:space="preserve"> of systemic factors that work to produce</w:t>
      </w:r>
      <w:r w:rsidR="00CB42A4" w:rsidRPr="00CC5771">
        <w:rPr>
          <w:rFonts w:ascii="Times New Roman" w:hAnsi="Times New Roman" w:cs="Times New Roman"/>
          <w:lang w:val="en-CA"/>
        </w:rPr>
        <w:t xml:space="preserve"> particular modes of</w:t>
      </w:r>
      <w:r w:rsidRPr="00CC5771">
        <w:rPr>
          <w:rFonts w:ascii="Times New Roman" w:hAnsi="Times New Roman" w:cs="Times New Roman"/>
          <w:lang w:val="en-CA"/>
        </w:rPr>
        <w:t xml:space="preserve"> oppression.</w:t>
      </w:r>
      <w:r w:rsidRPr="00CC5771">
        <w:rPr>
          <w:rStyle w:val="FootnoteReference"/>
          <w:rFonts w:ascii="Times New Roman" w:hAnsi="Times New Roman" w:cs="Times New Roman"/>
          <w:lang w:val="en-CA"/>
        </w:rPr>
        <w:footnoteReference w:id="40"/>
      </w:r>
      <w:r w:rsidRPr="00CC5771">
        <w:rPr>
          <w:rFonts w:ascii="Times New Roman" w:hAnsi="Times New Roman" w:cs="Times New Roman"/>
          <w:lang w:val="en-CA"/>
        </w:rPr>
        <w:t xml:space="preserve"> Moreover, human rights law </w:t>
      </w:r>
      <w:r w:rsidR="00CB42A4" w:rsidRPr="00CC5771">
        <w:rPr>
          <w:rFonts w:ascii="Times New Roman" w:hAnsi="Times New Roman" w:cs="Times New Roman"/>
          <w:lang w:val="en-CA"/>
        </w:rPr>
        <w:t>has been criticized for failing to attend to</w:t>
      </w:r>
      <w:r w:rsidR="00904EDB" w:rsidRPr="00CC5771">
        <w:rPr>
          <w:rFonts w:ascii="Times New Roman" w:hAnsi="Times New Roman" w:cs="Times New Roman"/>
          <w:lang w:val="en-CA"/>
        </w:rPr>
        <w:t xml:space="preserve"> </w:t>
      </w:r>
      <w:r w:rsidR="00CB42A4" w:rsidRPr="00CC5771">
        <w:rPr>
          <w:rFonts w:ascii="Times New Roman" w:hAnsi="Times New Roman" w:cs="Times New Roman"/>
          <w:lang w:val="en-CA"/>
        </w:rPr>
        <w:t>intersectionality, particularly because of its</w:t>
      </w:r>
      <w:r w:rsidR="00904EDB" w:rsidRPr="00CC5771">
        <w:rPr>
          <w:rFonts w:ascii="Times New Roman" w:hAnsi="Times New Roman" w:cs="Times New Roman"/>
          <w:lang w:val="en-CA"/>
        </w:rPr>
        <w:t xml:space="preserve"> unidimensional</w:t>
      </w:r>
      <w:r w:rsidR="00CB42A4" w:rsidRPr="00CC5771">
        <w:rPr>
          <w:rFonts w:ascii="Times New Roman" w:hAnsi="Times New Roman" w:cs="Times New Roman"/>
          <w:lang w:val="en-CA"/>
        </w:rPr>
        <w:t xml:space="preserve"> insistence on </w:t>
      </w:r>
      <w:r w:rsidR="00F717E2" w:rsidRPr="00CC5771">
        <w:rPr>
          <w:rFonts w:ascii="Times New Roman" w:hAnsi="Times New Roman" w:cs="Times New Roman"/>
          <w:lang w:val="en-CA"/>
        </w:rPr>
        <w:t>enumerated or analogous grounds</w:t>
      </w:r>
      <w:r w:rsidR="00CB42A4" w:rsidRPr="00CC5771">
        <w:rPr>
          <w:rFonts w:ascii="Times New Roman" w:hAnsi="Times New Roman" w:cs="Times New Roman"/>
          <w:lang w:val="en-CA"/>
        </w:rPr>
        <w:t xml:space="preserve">. </w:t>
      </w:r>
      <w:r w:rsidR="00F8095E" w:rsidRPr="00CC5771">
        <w:rPr>
          <w:rFonts w:ascii="Times New Roman" w:hAnsi="Times New Roman" w:cs="Times New Roman"/>
          <w:lang w:val="en-CA"/>
        </w:rPr>
        <w:t xml:space="preserve">Admittedly, human rights </w:t>
      </w:r>
      <w:r w:rsidR="007D4ED8" w:rsidRPr="00CC5771">
        <w:rPr>
          <w:rFonts w:ascii="Times New Roman" w:hAnsi="Times New Roman" w:cs="Times New Roman"/>
          <w:lang w:val="en-CA"/>
        </w:rPr>
        <w:t xml:space="preserve">instruments </w:t>
      </w:r>
      <w:r w:rsidR="000F74B7" w:rsidRPr="00CC5771">
        <w:rPr>
          <w:rFonts w:ascii="Times New Roman" w:hAnsi="Times New Roman" w:cs="Times New Roman"/>
          <w:lang w:val="en-CA"/>
        </w:rPr>
        <w:t>typically</w:t>
      </w:r>
      <w:r w:rsidR="007D4ED8" w:rsidRPr="00CC5771">
        <w:rPr>
          <w:rFonts w:ascii="Times New Roman" w:hAnsi="Times New Roman" w:cs="Times New Roman"/>
          <w:lang w:val="en-CA"/>
        </w:rPr>
        <w:t xml:space="preserve"> </w:t>
      </w:r>
      <w:r w:rsidR="00F8095E" w:rsidRPr="00CC5771">
        <w:rPr>
          <w:rFonts w:ascii="Times New Roman" w:hAnsi="Times New Roman" w:cs="Times New Roman"/>
          <w:lang w:val="en-CA"/>
        </w:rPr>
        <w:t xml:space="preserve">allow claimants to argue that they have experienced </w:t>
      </w:r>
      <w:r w:rsidR="007D4ED8" w:rsidRPr="00CC5771">
        <w:rPr>
          <w:rFonts w:ascii="Times New Roman" w:hAnsi="Times New Roman" w:cs="Times New Roman"/>
          <w:lang w:val="en-CA"/>
        </w:rPr>
        <w:t>multiple grounds of</w:t>
      </w:r>
      <w:r w:rsidR="00F8095E" w:rsidRPr="00CC5771">
        <w:rPr>
          <w:rFonts w:ascii="Times New Roman" w:hAnsi="Times New Roman" w:cs="Times New Roman"/>
          <w:lang w:val="en-CA"/>
        </w:rPr>
        <w:t xml:space="preserve"> discrimination.</w:t>
      </w:r>
      <w:r w:rsidR="007D4ED8" w:rsidRPr="00CC5771">
        <w:rPr>
          <w:rStyle w:val="FootnoteReference"/>
          <w:rFonts w:ascii="Times New Roman" w:hAnsi="Times New Roman" w:cs="Times New Roman"/>
          <w:lang w:val="en-CA"/>
        </w:rPr>
        <w:footnoteReference w:id="41"/>
      </w:r>
      <w:r w:rsidR="00F8095E" w:rsidRPr="00CC5771">
        <w:rPr>
          <w:rFonts w:ascii="Times New Roman" w:hAnsi="Times New Roman" w:cs="Times New Roman"/>
          <w:lang w:val="en-CA"/>
        </w:rPr>
        <w:t xml:space="preserve"> For</w:t>
      </w:r>
      <w:r w:rsidR="00CB42A4" w:rsidRPr="00CC5771">
        <w:rPr>
          <w:rFonts w:ascii="Times New Roman" w:hAnsi="Times New Roman" w:cs="Times New Roman"/>
          <w:lang w:val="en-CA"/>
        </w:rPr>
        <w:t xml:space="preserve"> trans</w:t>
      </w:r>
      <w:r w:rsidR="00441226" w:rsidRPr="00CC5771">
        <w:rPr>
          <w:rFonts w:ascii="Times New Roman" w:hAnsi="Times New Roman" w:cs="Times New Roman"/>
          <w:lang w:val="en-CA"/>
        </w:rPr>
        <w:t>gender</w:t>
      </w:r>
      <w:r w:rsidR="00CB42A4" w:rsidRPr="00CC5771">
        <w:rPr>
          <w:rFonts w:ascii="Times New Roman" w:hAnsi="Times New Roman" w:cs="Times New Roman"/>
          <w:lang w:val="en-CA"/>
        </w:rPr>
        <w:t xml:space="preserve"> and/or non-binary people of colour</w:t>
      </w:r>
      <w:r w:rsidR="00441226" w:rsidRPr="00CC5771">
        <w:rPr>
          <w:rFonts w:ascii="Times New Roman" w:hAnsi="Times New Roman" w:cs="Times New Roman"/>
          <w:lang w:val="en-CA"/>
        </w:rPr>
        <w:t xml:space="preserve"> or </w:t>
      </w:r>
      <w:r w:rsidR="00CB42A4" w:rsidRPr="00CC5771">
        <w:rPr>
          <w:rFonts w:ascii="Times New Roman" w:hAnsi="Times New Roman" w:cs="Times New Roman"/>
          <w:lang w:val="en-CA"/>
        </w:rPr>
        <w:t xml:space="preserve">people with disabilities, and those experiencing </w:t>
      </w:r>
      <w:r w:rsidR="0079015F" w:rsidRPr="00CC5771">
        <w:rPr>
          <w:rFonts w:ascii="Times New Roman" w:hAnsi="Times New Roman" w:cs="Times New Roman"/>
          <w:lang w:val="en-CA"/>
        </w:rPr>
        <w:t xml:space="preserve">other </w:t>
      </w:r>
      <w:r w:rsidR="00CB42A4" w:rsidRPr="00CC5771">
        <w:rPr>
          <w:rFonts w:ascii="Times New Roman" w:hAnsi="Times New Roman" w:cs="Times New Roman"/>
          <w:lang w:val="en-CA"/>
        </w:rPr>
        <w:t xml:space="preserve">intersecting oppressions, </w:t>
      </w:r>
      <w:r w:rsidR="00F8095E" w:rsidRPr="00CC5771">
        <w:rPr>
          <w:rFonts w:ascii="Times New Roman" w:hAnsi="Times New Roman" w:cs="Times New Roman"/>
          <w:lang w:val="en-CA"/>
        </w:rPr>
        <w:t xml:space="preserve">however, </w:t>
      </w:r>
      <w:r w:rsidR="00CB42A4" w:rsidRPr="00CC5771">
        <w:rPr>
          <w:rFonts w:ascii="Times New Roman" w:hAnsi="Times New Roman" w:cs="Times New Roman"/>
          <w:lang w:val="en-CA"/>
        </w:rPr>
        <w:t>the legal framework offered by h</w:t>
      </w:r>
      <w:r w:rsidR="0059000F" w:rsidRPr="00CC5771">
        <w:rPr>
          <w:rFonts w:ascii="Times New Roman" w:hAnsi="Times New Roman" w:cs="Times New Roman"/>
          <w:lang w:val="en-CA"/>
        </w:rPr>
        <w:t xml:space="preserve">uman rights law </w:t>
      </w:r>
      <w:r w:rsidR="00AA6582" w:rsidRPr="00CC5771">
        <w:rPr>
          <w:rFonts w:ascii="Times New Roman" w:hAnsi="Times New Roman" w:cs="Times New Roman"/>
          <w:lang w:val="en-CA"/>
        </w:rPr>
        <w:t xml:space="preserve">may still </w:t>
      </w:r>
      <w:r w:rsidR="0059000F" w:rsidRPr="00CC5771">
        <w:rPr>
          <w:rFonts w:ascii="Times New Roman" w:hAnsi="Times New Roman" w:cs="Times New Roman"/>
          <w:lang w:val="en-CA"/>
        </w:rPr>
        <w:t>be</w:t>
      </w:r>
      <w:r w:rsidR="00252DD8" w:rsidRPr="00CC5771">
        <w:rPr>
          <w:rFonts w:ascii="Times New Roman" w:hAnsi="Times New Roman" w:cs="Times New Roman"/>
          <w:lang w:val="en-CA"/>
        </w:rPr>
        <w:t xml:space="preserve"> particularly</w:t>
      </w:r>
      <w:r w:rsidR="0059000F" w:rsidRPr="00CC5771">
        <w:rPr>
          <w:rFonts w:ascii="Times New Roman" w:hAnsi="Times New Roman" w:cs="Times New Roman"/>
          <w:lang w:val="en-CA"/>
        </w:rPr>
        <w:t xml:space="preserve"> limiting</w:t>
      </w:r>
      <w:r w:rsidR="0079015F" w:rsidRPr="00CC5771">
        <w:rPr>
          <w:rFonts w:ascii="Times New Roman" w:hAnsi="Times New Roman" w:cs="Times New Roman"/>
          <w:lang w:val="en-CA"/>
        </w:rPr>
        <w:t>.</w:t>
      </w:r>
      <w:r w:rsidR="00CB42A4" w:rsidRPr="00CC5771">
        <w:rPr>
          <w:rStyle w:val="FootnoteReference"/>
          <w:rFonts w:ascii="Times New Roman" w:hAnsi="Times New Roman" w:cs="Times New Roman"/>
          <w:lang w:val="en-CA"/>
        </w:rPr>
        <w:footnoteReference w:id="42"/>
      </w:r>
      <w:r w:rsidR="0059000F" w:rsidRPr="00CC5771">
        <w:rPr>
          <w:rFonts w:ascii="Times New Roman" w:hAnsi="Times New Roman" w:cs="Times New Roman"/>
          <w:lang w:val="en-CA"/>
        </w:rPr>
        <w:t xml:space="preserve"> </w:t>
      </w:r>
    </w:p>
    <w:p w14:paraId="62F39164" w14:textId="2295AA5C" w:rsidR="008664D7" w:rsidRPr="00CC5771" w:rsidRDefault="00BE21E8"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Critics</w:t>
      </w:r>
      <w:r w:rsidR="00FA0057" w:rsidRPr="00CC5771">
        <w:rPr>
          <w:rFonts w:ascii="Times New Roman" w:hAnsi="Times New Roman" w:cs="Times New Roman"/>
          <w:lang w:val="en-CA"/>
        </w:rPr>
        <w:t xml:space="preserve"> have</w:t>
      </w:r>
      <w:r w:rsidRPr="00CC5771">
        <w:rPr>
          <w:rFonts w:ascii="Times New Roman" w:hAnsi="Times New Roman" w:cs="Times New Roman"/>
          <w:lang w:val="en-CA"/>
        </w:rPr>
        <w:t xml:space="preserve"> also</w:t>
      </w:r>
      <w:r w:rsidR="00FA0057" w:rsidRPr="00CC5771">
        <w:rPr>
          <w:rFonts w:ascii="Times New Roman" w:hAnsi="Times New Roman" w:cs="Times New Roman"/>
          <w:lang w:val="en-CA"/>
        </w:rPr>
        <w:t xml:space="preserve"> suggested that</w:t>
      </w:r>
      <w:r w:rsidR="00597738" w:rsidRPr="00CC5771">
        <w:rPr>
          <w:rFonts w:ascii="Times New Roman" w:hAnsi="Times New Roman" w:cs="Times New Roman"/>
          <w:lang w:val="en-CA"/>
        </w:rPr>
        <w:t xml:space="preserve"> </w:t>
      </w:r>
      <w:r w:rsidR="00A65EA8" w:rsidRPr="00CC5771">
        <w:rPr>
          <w:rFonts w:ascii="Times New Roman" w:hAnsi="Times New Roman" w:cs="Times New Roman"/>
          <w:lang w:val="en-CA"/>
        </w:rPr>
        <w:t>human rights laws can bolster</w:t>
      </w:r>
      <w:r w:rsidR="00A34FA7" w:rsidRPr="00CC5771">
        <w:rPr>
          <w:rFonts w:ascii="Times New Roman" w:hAnsi="Times New Roman" w:cs="Times New Roman"/>
          <w:lang w:val="en-CA"/>
        </w:rPr>
        <w:t xml:space="preserve"> existing </w:t>
      </w:r>
      <w:r w:rsidR="00A65EA8" w:rsidRPr="00CC5771">
        <w:rPr>
          <w:rFonts w:ascii="Times New Roman" w:hAnsi="Times New Roman" w:cs="Times New Roman"/>
          <w:lang w:val="en-CA"/>
        </w:rPr>
        <w:t>state and society power dynamics</w:t>
      </w:r>
      <w:r w:rsidR="00A34FA7" w:rsidRPr="00CC5771">
        <w:rPr>
          <w:rFonts w:ascii="Times New Roman" w:hAnsi="Times New Roman" w:cs="Times New Roman"/>
          <w:lang w:val="en-CA"/>
        </w:rPr>
        <w:t xml:space="preserve">. As Lamble argues, </w:t>
      </w:r>
      <w:r w:rsidR="00252DD8" w:rsidRPr="00CC5771">
        <w:rPr>
          <w:rFonts w:ascii="Times New Roman" w:hAnsi="Times New Roman" w:cs="Times New Roman"/>
          <w:lang w:val="en-CA"/>
        </w:rPr>
        <w:t>human rights instruments</w:t>
      </w:r>
      <w:r w:rsidR="00A34FA7" w:rsidRPr="00CC5771">
        <w:rPr>
          <w:rFonts w:ascii="Times New Roman" w:hAnsi="Times New Roman" w:cs="Times New Roman"/>
          <w:lang w:val="en-CA"/>
        </w:rPr>
        <w:t xml:space="preserve"> may contribute </w:t>
      </w:r>
      <w:r w:rsidR="007D4ED8" w:rsidRPr="00CC5771">
        <w:rPr>
          <w:rFonts w:ascii="Times New Roman" w:hAnsi="Times New Roman" w:cs="Times New Roman"/>
          <w:lang w:val="en-CA"/>
        </w:rPr>
        <w:t>to the idea of s</w:t>
      </w:r>
      <w:r w:rsidR="00A34FA7" w:rsidRPr="00CC5771">
        <w:rPr>
          <w:rFonts w:ascii="Times New Roman" w:hAnsi="Times New Roman" w:cs="Times New Roman"/>
          <w:lang w:val="en-CA"/>
        </w:rPr>
        <w:t xml:space="preserve">tate innocence. Rather than recognizing the complex ways </w:t>
      </w:r>
      <w:r w:rsidR="00FB3C84">
        <w:rPr>
          <w:rFonts w:ascii="Times New Roman" w:hAnsi="Times New Roman" w:cs="Times New Roman"/>
          <w:lang w:val="en-CA"/>
        </w:rPr>
        <w:t>in which</w:t>
      </w:r>
      <w:r w:rsidR="00FB3C84" w:rsidRPr="00CC5771">
        <w:rPr>
          <w:rFonts w:ascii="Times New Roman" w:hAnsi="Times New Roman" w:cs="Times New Roman"/>
          <w:lang w:val="en-CA"/>
        </w:rPr>
        <w:t xml:space="preserve"> </w:t>
      </w:r>
      <w:r w:rsidR="00A34FA7" w:rsidRPr="00CC5771">
        <w:rPr>
          <w:rFonts w:ascii="Times New Roman" w:hAnsi="Times New Roman" w:cs="Times New Roman"/>
          <w:lang w:val="en-CA"/>
        </w:rPr>
        <w:t xml:space="preserve">the state </w:t>
      </w:r>
      <w:r w:rsidR="0030522E" w:rsidRPr="00CC5771">
        <w:rPr>
          <w:rFonts w:ascii="Times New Roman" w:hAnsi="Times New Roman" w:cs="Times New Roman"/>
          <w:lang w:val="en-CA"/>
        </w:rPr>
        <w:t xml:space="preserve">itself </w:t>
      </w:r>
      <w:r w:rsidR="00A34FA7" w:rsidRPr="00CC5771">
        <w:rPr>
          <w:rFonts w:ascii="Times New Roman" w:hAnsi="Times New Roman" w:cs="Times New Roman"/>
          <w:lang w:val="en-CA"/>
        </w:rPr>
        <w:t>contribute</w:t>
      </w:r>
      <w:r w:rsidR="00597738" w:rsidRPr="00CC5771">
        <w:rPr>
          <w:rFonts w:ascii="Times New Roman" w:hAnsi="Times New Roman" w:cs="Times New Roman"/>
          <w:lang w:val="en-CA"/>
        </w:rPr>
        <w:t>s</w:t>
      </w:r>
      <w:r w:rsidR="00A34FA7" w:rsidRPr="00CC5771">
        <w:rPr>
          <w:rFonts w:ascii="Times New Roman" w:hAnsi="Times New Roman" w:cs="Times New Roman"/>
          <w:lang w:val="en-CA"/>
        </w:rPr>
        <w:t xml:space="preserve"> to oppression, human rights law allows the state to adopt a benevolent position by </w:t>
      </w:r>
      <w:r w:rsidR="007D4ED8" w:rsidRPr="00CC5771">
        <w:rPr>
          <w:rFonts w:ascii="Times New Roman" w:hAnsi="Times New Roman" w:cs="Times New Roman"/>
          <w:lang w:val="en-CA"/>
        </w:rPr>
        <w:t>claiming to provide</w:t>
      </w:r>
      <w:r w:rsidR="00A34FA7" w:rsidRPr="00CC5771">
        <w:rPr>
          <w:rFonts w:ascii="Times New Roman" w:hAnsi="Times New Roman" w:cs="Times New Roman"/>
          <w:lang w:val="en-CA"/>
        </w:rPr>
        <w:t xml:space="preserve"> a mechanism </w:t>
      </w:r>
      <w:r w:rsidR="00904EDB" w:rsidRPr="00CC5771">
        <w:rPr>
          <w:rFonts w:ascii="Times New Roman" w:hAnsi="Times New Roman" w:cs="Times New Roman"/>
          <w:lang w:val="en-CA"/>
        </w:rPr>
        <w:t xml:space="preserve">to </w:t>
      </w:r>
      <w:r w:rsidR="00240CFF" w:rsidRPr="00CC5771">
        <w:rPr>
          <w:rFonts w:ascii="Times New Roman" w:hAnsi="Times New Roman" w:cs="Times New Roman"/>
          <w:lang w:val="en-CA"/>
        </w:rPr>
        <w:t>facilitate</w:t>
      </w:r>
      <w:r w:rsidR="00A34FA7" w:rsidRPr="00CC5771">
        <w:rPr>
          <w:rFonts w:ascii="Times New Roman" w:hAnsi="Times New Roman" w:cs="Times New Roman"/>
          <w:lang w:val="en-CA"/>
        </w:rPr>
        <w:t xml:space="preserve"> the individualized remedying </w:t>
      </w:r>
      <w:r w:rsidR="000A21DB" w:rsidRPr="00CC5771">
        <w:rPr>
          <w:rFonts w:ascii="Times New Roman" w:hAnsi="Times New Roman" w:cs="Times New Roman"/>
          <w:lang w:val="en-CA"/>
        </w:rPr>
        <w:t xml:space="preserve">of </w:t>
      </w:r>
      <w:r w:rsidR="00A34FA7" w:rsidRPr="00CC5771">
        <w:rPr>
          <w:rFonts w:ascii="Times New Roman" w:hAnsi="Times New Roman" w:cs="Times New Roman"/>
          <w:lang w:val="en-CA"/>
        </w:rPr>
        <w:t>discrimination.</w:t>
      </w:r>
      <w:r w:rsidR="00A34FA7" w:rsidRPr="00CC5771">
        <w:rPr>
          <w:rStyle w:val="FootnoteReference"/>
          <w:rFonts w:ascii="Times New Roman" w:hAnsi="Times New Roman" w:cs="Times New Roman"/>
          <w:lang w:val="en-CA"/>
        </w:rPr>
        <w:footnoteReference w:id="43"/>
      </w:r>
      <w:r w:rsidR="00A34FA7" w:rsidRPr="00CC5771">
        <w:rPr>
          <w:rFonts w:ascii="Times New Roman" w:hAnsi="Times New Roman" w:cs="Times New Roman"/>
          <w:lang w:val="en-CA"/>
        </w:rPr>
        <w:t xml:space="preserve"> </w:t>
      </w:r>
      <w:r w:rsidR="00AA6582" w:rsidRPr="00CC5771">
        <w:rPr>
          <w:rFonts w:ascii="Times New Roman" w:hAnsi="Times New Roman" w:cs="Times New Roman"/>
          <w:lang w:val="en-CA"/>
        </w:rPr>
        <w:t xml:space="preserve">While human rights law reform may open the door to challenge state action, </w:t>
      </w:r>
      <w:r w:rsidR="00A34FA7" w:rsidRPr="00CC5771">
        <w:rPr>
          <w:rFonts w:ascii="Times New Roman" w:hAnsi="Times New Roman" w:cs="Times New Roman"/>
          <w:lang w:val="en-CA"/>
        </w:rPr>
        <w:t xml:space="preserve">Spade argues that human rights </w:t>
      </w:r>
      <w:r w:rsidR="00A34FA7" w:rsidRPr="00CC5771">
        <w:rPr>
          <w:rFonts w:ascii="Times New Roman" w:hAnsi="Times New Roman" w:cs="Times New Roman"/>
          <w:lang w:val="en-CA"/>
        </w:rPr>
        <w:lastRenderedPageBreak/>
        <w:t>laws “[tinker] with systems to make them look more inclusive while leaving their most violent operations intact</w:t>
      </w:r>
      <w:r w:rsidR="009C3F79">
        <w:rPr>
          <w:rFonts w:ascii="Times New Roman" w:hAnsi="Times New Roman" w:cs="Times New Roman"/>
          <w:lang w:val="en-CA"/>
        </w:rPr>
        <w:t>.”</w:t>
      </w:r>
      <w:r w:rsidR="00A34FA7" w:rsidRPr="00CC5771">
        <w:rPr>
          <w:rStyle w:val="FootnoteReference"/>
          <w:rFonts w:ascii="Times New Roman" w:hAnsi="Times New Roman" w:cs="Times New Roman"/>
          <w:lang w:val="en-CA"/>
        </w:rPr>
        <w:footnoteReference w:id="44"/>
      </w:r>
      <w:r w:rsidR="00A579D0" w:rsidRPr="00CC5771">
        <w:rPr>
          <w:rFonts w:ascii="Times New Roman" w:hAnsi="Times New Roman" w:cs="Times New Roman"/>
          <w:lang w:val="en-CA"/>
        </w:rPr>
        <w:t xml:space="preserve"> Moreover, the advent of formal human rights protections </w:t>
      </w:r>
      <w:r w:rsidR="00597738" w:rsidRPr="00CC5771">
        <w:rPr>
          <w:rFonts w:ascii="Times New Roman" w:hAnsi="Times New Roman" w:cs="Times New Roman"/>
          <w:lang w:val="en-CA"/>
        </w:rPr>
        <w:t>may allow</w:t>
      </w:r>
      <w:r w:rsidR="00A579D0" w:rsidRPr="00CC5771">
        <w:rPr>
          <w:rFonts w:ascii="Times New Roman" w:hAnsi="Times New Roman" w:cs="Times New Roman"/>
          <w:lang w:val="en-CA"/>
        </w:rPr>
        <w:t xml:space="preserve"> state actors to </w:t>
      </w:r>
      <w:r w:rsidR="00AA6582" w:rsidRPr="00CC5771">
        <w:rPr>
          <w:rFonts w:ascii="Times New Roman" w:hAnsi="Times New Roman" w:cs="Times New Roman"/>
          <w:lang w:val="en-CA"/>
        </w:rPr>
        <w:t>publicly pro</w:t>
      </w:r>
      <w:r w:rsidR="00A579D0" w:rsidRPr="00CC5771">
        <w:rPr>
          <w:rFonts w:ascii="Times New Roman" w:hAnsi="Times New Roman" w:cs="Times New Roman"/>
          <w:lang w:val="en-CA"/>
        </w:rPr>
        <w:t>claim that they are taking action</w:t>
      </w:r>
      <w:r w:rsidR="006C1B23" w:rsidRPr="00CC5771">
        <w:rPr>
          <w:rFonts w:ascii="Times New Roman" w:hAnsi="Times New Roman" w:cs="Times New Roman"/>
          <w:lang w:val="en-CA"/>
        </w:rPr>
        <w:t xml:space="preserve"> to improve the lived realities of trans</w:t>
      </w:r>
      <w:r w:rsidR="000A21DB" w:rsidRPr="00CC5771">
        <w:rPr>
          <w:rFonts w:ascii="Times New Roman" w:hAnsi="Times New Roman" w:cs="Times New Roman"/>
          <w:lang w:val="en-CA"/>
        </w:rPr>
        <w:t>gender</w:t>
      </w:r>
      <w:r w:rsidR="006C1B23" w:rsidRPr="00CC5771">
        <w:rPr>
          <w:rFonts w:ascii="Times New Roman" w:hAnsi="Times New Roman" w:cs="Times New Roman"/>
          <w:lang w:val="en-CA"/>
        </w:rPr>
        <w:t xml:space="preserve"> and/or non-binary communities</w:t>
      </w:r>
      <w:r w:rsidR="00A579D0" w:rsidRPr="00CC5771">
        <w:rPr>
          <w:rFonts w:ascii="Times New Roman" w:hAnsi="Times New Roman" w:cs="Times New Roman"/>
          <w:lang w:val="en-CA"/>
        </w:rPr>
        <w:t>, without the need to make meaningful structural changes.</w:t>
      </w:r>
      <w:r w:rsidR="00A579D0" w:rsidRPr="00CC5771">
        <w:rPr>
          <w:rStyle w:val="FootnoteReference"/>
          <w:rFonts w:ascii="Times New Roman" w:hAnsi="Times New Roman" w:cs="Times New Roman"/>
          <w:lang w:val="en-CA"/>
        </w:rPr>
        <w:footnoteReference w:id="45"/>
      </w:r>
      <w:r w:rsidR="00252DD8" w:rsidRPr="00CC5771">
        <w:rPr>
          <w:rFonts w:ascii="Times New Roman" w:hAnsi="Times New Roman" w:cs="Times New Roman"/>
          <w:lang w:val="en-CA"/>
        </w:rPr>
        <w:t xml:space="preserve"> For example, a critical observer might suggest that it is far easier for the state to add “gender identity” and “gender expression” to human rights </w:t>
      </w:r>
      <w:r w:rsidR="007D4ED8" w:rsidRPr="00CC5771">
        <w:rPr>
          <w:rFonts w:ascii="Times New Roman" w:hAnsi="Times New Roman" w:cs="Times New Roman"/>
          <w:lang w:val="en-CA"/>
        </w:rPr>
        <w:t>instruments</w:t>
      </w:r>
      <w:r w:rsidR="00252DD8" w:rsidRPr="00CC5771">
        <w:rPr>
          <w:rFonts w:ascii="Times New Roman" w:hAnsi="Times New Roman" w:cs="Times New Roman"/>
          <w:lang w:val="en-CA"/>
        </w:rPr>
        <w:t xml:space="preserve"> than it is to ensure the provision of equitable healthcare</w:t>
      </w:r>
      <w:r w:rsidR="00C460C5" w:rsidRPr="00CC5771">
        <w:rPr>
          <w:rFonts w:ascii="Times New Roman" w:hAnsi="Times New Roman" w:cs="Times New Roman"/>
          <w:lang w:val="en-CA"/>
        </w:rPr>
        <w:t xml:space="preserve"> for trans</w:t>
      </w:r>
      <w:r w:rsidR="000A21DB" w:rsidRPr="00CC5771">
        <w:rPr>
          <w:rFonts w:ascii="Times New Roman" w:hAnsi="Times New Roman" w:cs="Times New Roman"/>
          <w:lang w:val="en-CA"/>
        </w:rPr>
        <w:t>gender</w:t>
      </w:r>
      <w:r w:rsidR="00C460C5" w:rsidRPr="00CC5771">
        <w:rPr>
          <w:rFonts w:ascii="Times New Roman" w:hAnsi="Times New Roman" w:cs="Times New Roman"/>
          <w:lang w:val="en-CA"/>
        </w:rPr>
        <w:t xml:space="preserve"> and/or non</w:t>
      </w:r>
      <w:r w:rsidR="008F1DF4" w:rsidRPr="00CC5771">
        <w:rPr>
          <w:rFonts w:ascii="Times New Roman" w:hAnsi="Times New Roman" w:cs="Times New Roman"/>
          <w:lang w:val="en-CA"/>
        </w:rPr>
        <w:t>-</w:t>
      </w:r>
      <w:r w:rsidR="00C460C5" w:rsidRPr="00CC5771">
        <w:rPr>
          <w:rFonts w:ascii="Times New Roman" w:hAnsi="Times New Roman" w:cs="Times New Roman"/>
          <w:lang w:val="en-CA"/>
        </w:rPr>
        <w:t>binary people</w:t>
      </w:r>
      <w:r w:rsidR="00252DD8" w:rsidRPr="00CC5771">
        <w:rPr>
          <w:rFonts w:ascii="Times New Roman" w:hAnsi="Times New Roman" w:cs="Times New Roman"/>
          <w:lang w:val="en-CA"/>
        </w:rPr>
        <w:t xml:space="preserve">. </w:t>
      </w:r>
    </w:p>
    <w:p w14:paraId="15070EDC" w14:textId="66D66374" w:rsidR="00491D5A" w:rsidRPr="00CC5771" w:rsidRDefault="00F40060"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A third vein of criticism focuses on the reality that privileged members of trans</w:t>
      </w:r>
      <w:r w:rsidR="000A21DB" w:rsidRPr="00CC5771">
        <w:rPr>
          <w:rFonts w:ascii="Times New Roman" w:hAnsi="Times New Roman" w:cs="Times New Roman"/>
          <w:lang w:val="en-CA"/>
        </w:rPr>
        <w:t>gender</w:t>
      </w:r>
      <w:r w:rsidRPr="00CC5771">
        <w:rPr>
          <w:rFonts w:ascii="Times New Roman" w:hAnsi="Times New Roman" w:cs="Times New Roman"/>
          <w:lang w:val="en-CA"/>
        </w:rPr>
        <w:t xml:space="preserve"> and/or binary communities </w:t>
      </w:r>
      <w:r w:rsidR="000A21DB" w:rsidRPr="00CC5771">
        <w:rPr>
          <w:rFonts w:ascii="Times New Roman" w:hAnsi="Times New Roman" w:cs="Times New Roman"/>
          <w:lang w:val="en-CA"/>
        </w:rPr>
        <w:t xml:space="preserve">are </w:t>
      </w:r>
      <w:r w:rsidR="00AA6582" w:rsidRPr="00CC5771">
        <w:rPr>
          <w:rFonts w:ascii="Times New Roman" w:hAnsi="Times New Roman" w:cs="Times New Roman"/>
          <w:lang w:val="en-CA"/>
        </w:rPr>
        <w:t>the most likely to be</w:t>
      </w:r>
      <w:r w:rsidR="000A21DB" w:rsidRPr="00CC5771">
        <w:rPr>
          <w:rFonts w:ascii="Times New Roman" w:hAnsi="Times New Roman" w:cs="Times New Roman"/>
          <w:lang w:val="en-CA"/>
        </w:rPr>
        <w:t xml:space="preserve"> able to </w:t>
      </w:r>
      <w:r w:rsidRPr="00CC5771">
        <w:rPr>
          <w:rFonts w:ascii="Times New Roman" w:hAnsi="Times New Roman" w:cs="Times New Roman"/>
          <w:lang w:val="en-CA"/>
        </w:rPr>
        <w:t xml:space="preserve">access human rights protections. </w:t>
      </w:r>
      <w:r w:rsidR="0030522E" w:rsidRPr="00CC5771">
        <w:rPr>
          <w:rFonts w:ascii="Times New Roman" w:hAnsi="Times New Roman" w:cs="Times New Roman"/>
          <w:lang w:val="en-CA"/>
        </w:rPr>
        <w:t>Indeed, one</w:t>
      </w:r>
      <w:r w:rsidR="00912EC7">
        <w:rPr>
          <w:rFonts w:ascii="Times New Roman" w:hAnsi="Times New Roman" w:cs="Times New Roman"/>
          <w:lang w:val="en-CA"/>
        </w:rPr>
        <w:t>’</w:t>
      </w:r>
      <w:r w:rsidR="0030522E" w:rsidRPr="00CC5771">
        <w:rPr>
          <w:rFonts w:ascii="Times New Roman" w:hAnsi="Times New Roman" w:cs="Times New Roman"/>
          <w:lang w:val="en-CA"/>
        </w:rPr>
        <w:t>s</w:t>
      </w:r>
      <w:r w:rsidRPr="00CC5771">
        <w:rPr>
          <w:rFonts w:ascii="Times New Roman" w:hAnsi="Times New Roman" w:cs="Times New Roman"/>
          <w:lang w:val="en-CA"/>
        </w:rPr>
        <w:t xml:space="preserve"> ability to access </w:t>
      </w:r>
      <w:r w:rsidR="00597738" w:rsidRPr="00CC5771">
        <w:rPr>
          <w:rFonts w:ascii="Times New Roman" w:hAnsi="Times New Roman" w:cs="Times New Roman"/>
          <w:lang w:val="en-CA"/>
        </w:rPr>
        <w:t>justice</w:t>
      </w:r>
      <w:r w:rsidRPr="00CC5771">
        <w:rPr>
          <w:rFonts w:ascii="Times New Roman" w:hAnsi="Times New Roman" w:cs="Times New Roman"/>
          <w:lang w:val="en-CA"/>
        </w:rPr>
        <w:t xml:space="preserve"> is invariably tied </w:t>
      </w:r>
      <w:r w:rsidR="00A91EF8" w:rsidRPr="00CC5771">
        <w:rPr>
          <w:rFonts w:ascii="Times New Roman" w:hAnsi="Times New Roman" w:cs="Times New Roman"/>
          <w:lang w:val="en-CA"/>
        </w:rPr>
        <w:t>to one</w:t>
      </w:r>
      <w:r w:rsidR="00912EC7">
        <w:rPr>
          <w:rFonts w:ascii="Times New Roman" w:hAnsi="Times New Roman" w:cs="Times New Roman"/>
          <w:lang w:val="en-CA"/>
        </w:rPr>
        <w:t>’</w:t>
      </w:r>
      <w:r w:rsidR="00A91EF8" w:rsidRPr="00CC5771">
        <w:rPr>
          <w:rFonts w:ascii="Times New Roman" w:hAnsi="Times New Roman" w:cs="Times New Roman"/>
          <w:lang w:val="en-CA"/>
        </w:rPr>
        <w:t>s financial</w:t>
      </w:r>
      <w:r w:rsidRPr="00CC5771">
        <w:rPr>
          <w:rFonts w:ascii="Times New Roman" w:hAnsi="Times New Roman" w:cs="Times New Roman"/>
          <w:lang w:val="en-CA"/>
        </w:rPr>
        <w:t xml:space="preserve"> resources.</w:t>
      </w:r>
      <w:r w:rsidRPr="00CC5771">
        <w:rPr>
          <w:rStyle w:val="FootnoteReference"/>
          <w:rFonts w:ascii="Times New Roman" w:hAnsi="Times New Roman" w:cs="Times New Roman"/>
          <w:lang w:val="en-CA"/>
        </w:rPr>
        <w:footnoteReference w:id="46"/>
      </w:r>
      <w:r w:rsidR="00A91EF8" w:rsidRPr="00CC5771">
        <w:rPr>
          <w:rFonts w:ascii="Times New Roman" w:hAnsi="Times New Roman" w:cs="Times New Roman"/>
          <w:lang w:val="en-CA"/>
        </w:rPr>
        <w:t xml:space="preserve"> Critics rightly note that human rights complaints are expensive, </w:t>
      </w:r>
      <w:r w:rsidR="00597738" w:rsidRPr="00CC5771">
        <w:rPr>
          <w:rFonts w:ascii="Times New Roman" w:hAnsi="Times New Roman" w:cs="Times New Roman"/>
          <w:lang w:val="en-CA"/>
        </w:rPr>
        <w:t xml:space="preserve">that </w:t>
      </w:r>
      <w:r w:rsidR="00A91EF8" w:rsidRPr="00CC5771">
        <w:rPr>
          <w:rFonts w:ascii="Times New Roman" w:hAnsi="Times New Roman" w:cs="Times New Roman"/>
          <w:lang w:val="en-CA"/>
        </w:rPr>
        <w:t>human rights commission</w:t>
      </w:r>
      <w:r w:rsidR="00945482" w:rsidRPr="00CC5771">
        <w:rPr>
          <w:rFonts w:ascii="Times New Roman" w:hAnsi="Times New Roman" w:cs="Times New Roman"/>
          <w:lang w:val="en-CA"/>
        </w:rPr>
        <w:t>s</w:t>
      </w:r>
      <w:r w:rsidR="00A91EF8" w:rsidRPr="00CC5771">
        <w:rPr>
          <w:rFonts w:ascii="Times New Roman" w:hAnsi="Times New Roman" w:cs="Times New Roman"/>
          <w:lang w:val="en-CA"/>
        </w:rPr>
        <w:t xml:space="preserve"> rarely have adequate resources to support individual cases, and </w:t>
      </w:r>
      <w:r w:rsidR="00597738" w:rsidRPr="00CC5771">
        <w:rPr>
          <w:rFonts w:ascii="Times New Roman" w:hAnsi="Times New Roman" w:cs="Times New Roman"/>
          <w:lang w:val="en-CA"/>
        </w:rPr>
        <w:t xml:space="preserve">that </w:t>
      </w:r>
      <w:r w:rsidR="00A91EF8" w:rsidRPr="00CC5771">
        <w:rPr>
          <w:rFonts w:ascii="Times New Roman" w:hAnsi="Times New Roman" w:cs="Times New Roman"/>
          <w:lang w:val="en-CA"/>
        </w:rPr>
        <w:t xml:space="preserve">tribunals often take long periods of time to render decisions. </w:t>
      </w:r>
      <w:r w:rsidR="00597738" w:rsidRPr="00CC5771">
        <w:rPr>
          <w:rFonts w:ascii="Times New Roman" w:hAnsi="Times New Roman" w:cs="Times New Roman"/>
          <w:lang w:val="en-CA"/>
        </w:rPr>
        <w:t>Especially when</w:t>
      </w:r>
      <w:r w:rsidR="00A91EF8" w:rsidRPr="00CC5771">
        <w:rPr>
          <w:rFonts w:ascii="Times New Roman" w:hAnsi="Times New Roman" w:cs="Times New Roman"/>
          <w:lang w:val="en-CA"/>
        </w:rPr>
        <w:t xml:space="preserve"> “wins” and “los</w:t>
      </w:r>
      <w:r w:rsidR="00945482" w:rsidRPr="00CC5771">
        <w:rPr>
          <w:rFonts w:ascii="Times New Roman" w:hAnsi="Times New Roman" w:cs="Times New Roman"/>
          <w:lang w:val="en-CA"/>
        </w:rPr>
        <w:t>s</w:t>
      </w:r>
      <w:r w:rsidR="00A91EF8" w:rsidRPr="00CC5771">
        <w:rPr>
          <w:rFonts w:ascii="Times New Roman" w:hAnsi="Times New Roman" w:cs="Times New Roman"/>
          <w:lang w:val="en-CA"/>
        </w:rPr>
        <w:t>es” in human rights tribunals are used as the barometer to assess whether anti-discrimination protections are effective</w:t>
      </w:r>
      <w:r w:rsidR="0028352D" w:rsidRPr="00CC5771">
        <w:rPr>
          <w:rFonts w:ascii="Times New Roman" w:hAnsi="Times New Roman" w:cs="Times New Roman"/>
          <w:lang w:val="en-CA"/>
        </w:rPr>
        <w:t xml:space="preserve"> in remedying discrimination</w:t>
      </w:r>
      <w:r w:rsidR="00A91EF8" w:rsidRPr="00CC5771">
        <w:rPr>
          <w:rFonts w:ascii="Times New Roman" w:hAnsi="Times New Roman" w:cs="Times New Roman"/>
          <w:lang w:val="en-CA"/>
        </w:rPr>
        <w:t xml:space="preserve">, critics are right to underscore the structural limitations that undermine the promise of human rights protections. </w:t>
      </w:r>
      <w:r w:rsidR="00BE21E8" w:rsidRPr="00CC5771">
        <w:rPr>
          <w:rFonts w:ascii="Times New Roman" w:hAnsi="Times New Roman" w:cs="Times New Roman"/>
          <w:lang w:val="en-CA"/>
        </w:rPr>
        <w:t>Ashley, for example, explains:</w:t>
      </w:r>
      <w:r w:rsidR="00252DD8" w:rsidRPr="00CC5771">
        <w:rPr>
          <w:rFonts w:ascii="Times New Roman" w:hAnsi="Times New Roman" w:cs="Times New Roman"/>
          <w:lang w:val="en-CA"/>
        </w:rPr>
        <w:t xml:space="preserve"> </w:t>
      </w:r>
      <w:r w:rsidR="00F45D8D" w:rsidRPr="00CC5771">
        <w:rPr>
          <w:rFonts w:ascii="Times New Roman" w:hAnsi="Times New Roman" w:cs="Times New Roman"/>
          <w:lang w:val="en-CA"/>
        </w:rPr>
        <w:t xml:space="preserve">“Despite every trans </w:t>
      </w:r>
      <w:r w:rsidR="00252DD8" w:rsidRPr="00CC5771">
        <w:rPr>
          <w:rFonts w:ascii="Times New Roman" w:hAnsi="Times New Roman" w:cs="Times New Roman"/>
          <w:lang w:val="en-CA"/>
        </w:rPr>
        <w:t>person I know having suffered from harassment or discrimination at some point, none has launched an anti-discrimination lawsuit to obtain reparation for the harm they have suffered.”</w:t>
      </w:r>
      <w:r w:rsidR="00252DD8" w:rsidRPr="00CC5771">
        <w:rPr>
          <w:rStyle w:val="FootnoteReference"/>
          <w:rFonts w:ascii="Times New Roman" w:hAnsi="Times New Roman" w:cs="Times New Roman"/>
          <w:lang w:val="en-CA"/>
        </w:rPr>
        <w:footnoteReference w:id="47"/>
      </w:r>
    </w:p>
    <w:p w14:paraId="11AA4B30" w14:textId="30743FAC" w:rsidR="00491D5A" w:rsidRPr="00CC5771" w:rsidRDefault="00640034"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lastRenderedPageBreak/>
        <w:t xml:space="preserve">In short, critics have made important interventions </w:t>
      </w:r>
      <w:r w:rsidR="00E56088" w:rsidRPr="00CC5771">
        <w:rPr>
          <w:rFonts w:ascii="Times New Roman" w:hAnsi="Times New Roman" w:cs="Times New Roman"/>
          <w:lang w:val="en-CA"/>
        </w:rPr>
        <w:t>over the past decade</w:t>
      </w:r>
      <w:r w:rsidRPr="00CC5771">
        <w:rPr>
          <w:rFonts w:ascii="Times New Roman" w:hAnsi="Times New Roman" w:cs="Times New Roman"/>
          <w:lang w:val="en-CA"/>
        </w:rPr>
        <w:t xml:space="preserve">, suggesting that </w:t>
      </w:r>
      <w:r w:rsidR="0028352D" w:rsidRPr="00CC5771">
        <w:rPr>
          <w:rFonts w:ascii="Times New Roman" w:hAnsi="Times New Roman" w:cs="Times New Roman"/>
          <w:lang w:val="en-CA"/>
        </w:rPr>
        <w:t xml:space="preserve">the turn to </w:t>
      </w:r>
      <w:r w:rsidR="00A65EA8" w:rsidRPr="00CC5771">
        <w:rPr>
          <w:rFonts w:ascii="Times New Roman" w:hAnsi="Times New Roman" w:cs="Times New Roman"/>
          <w:lang w:val="en-CA"/>
        </w:rPr>
        <w:t>human rights law</w:t>
      </w:r>
      <w:r w:rsidRPr="00CC5771">
        <w:rPr>
          <w:rFonts w:ascii="Times New Roman" w:hAnsi="Times New Roman" w:cs="Times New Roman"/>
          <w:lang w:val="en-CA"/>
        </w:rPr>
        <w:t xml:space="preserve"> simplifies equality, upholds existing power structures, and favours the most economically privileged members of trans</w:t>
      </w:r>
      <w:r w:rsidR="008576BC" w:rsidRPr="00CC5771">
        <w:rPr>
          <w:rFonts w:ascii="Times New Roman" w:hAnsi="Times New Roman" w:cs="Times New Roman"/>
          <w:lang w:val="en-CA"/>
        </w:rPr>
        <w:t>gender</w:t>
      </w:r>
      <w:r w:rsidRPr="00CC5771">
        <w:rPr>
          <w:rFonts w:ascii="Times New Roman" w:hAnsi="Times New Roman" w:cs="Times New Roman"/>
          <w:lang w:val="en-CA"/>
        </w:rPr>
        <w:t xml:space="preserve"> and/or non-binary communities.</w:t>
      </w:r>
      <w:r w:rsidR="0028352D" w:rsidRPr="00CC5771">
        <w:rPr>
          <w:rFonts w:ascii="Times New Roman" w:hAnsi="Times New Roman" w:cs="Times New Roman"/>
          <w:lang w:val="en-CA"/>
        </w:rPr>
        <w:t xml:space="preserve"> </w:t>
      </w:r>
      <w:r w:rsidR="0030522E" w:rsidRPr="00CC5771">
        <w:rPr>
          <w:rFonts w:ascii="Times New Roman" w:hAnsi="Times New Roman" w:cs="Times New Roman"/>
          <w:lang w:val="en-CA"/>
        </w:rPr>
        <w:t>Despite expressing</w:t>
      </w:r>
      <w:r w:rsidR="00E56088" w:rsidRPr="00CC5771">
        <w:rPr>
          <w:rFonts w:ascii="Times New Roman" w:hAnsi="Times New Roman" w:cs="Times New Roman"/>
          <w:lang w:val="en-CA"/>
        </w:rPr>
        <w:t xml:space="preserve"> </w:t>
      </w:r>
      <w:r w:rsidR="006B225E" w:rsidRPr="00CC5771">
        <w:rPr>
          <w:rFonts w:ascii="Times New Roman" w:hAnsi="Times New Roman" w:cs="Times New Roman"/>
          <w:lang w:val="en-CA"/>
        </w:rPr>
        <w:t xml:space="preserve">both </w:t>
      </w:r>
      <w:r w:rsidR="00E56088" w:rsidRPr="00CC5771">
        <w:rPr>
          <w:rFonts w:ascii="Times New Roman" w:hAnsi="Times New Roman" w:cs="Times New Roman"/>
          <w:lang w:val="en-CA"/>
        </w:rPr>
        <w:t xml:space="preserve">optimism and criticism about the promise of human rights protections, few </w:t>
      </w:r>
      <w:r w:rsidR="007D4ED8" w:rsidRPr="00CC5771">
        <w:rPr>
          <w:rFonts w:ascii="Times New Roman" w:hAnsi="Times New Roman" w:cs="Times New Roman"/>
          <w:lang w:val="en-CA"/>
        </w:rPr>
        <w:t>have suggested</w:t>
      </w:r>
      <w:r w:rsidR="00E56088" w:rsidRPr="00CC5771">
        <w:rPr>
          <w:rFonts w:ascii="Times New Roman" w:hAnsi="Times New Roman" w:cs="Times New Roman"/>
          <w:lang w:val="en-CA"/>
        </w:rPr>
        <w:t xml:space="preserve"> abandoning such approaches altogethe</w:t>
      </w:r>
      <w:r w:rsidR="0028352D" w:rsidRPr="00CC5771">
        <w:rPr>
          <w:rFonts w:ascii="Times New Roman" w:hAnsi="Times New Roman" w:cs="Times New Roman"/>
          <w:lang w:val="en-CA"/>
        </w:rPr>
        <w:t>r</w:t>
      </w:r>
      <w:r w:rsidR="00E56088" w:rsidRPr="00CC5771">
        <w:rPr>
          <w:rFonts w:ascii="Times New Roman" w:hAnsi="Times New Roman" w:cs="Times New Roman"/>
          <w:lang w:val="en-CA"/>
        </w:rPr>
        <w:t>.</w:t>
      </w:r>
      <w:r w:rsidR="0028352D" w:rsidRPr="00CC5771">
        <w:rPr>
          <w:rFonts w:ascii="Times New Roman" w:hAnsi="Times New Roman" w:cs="Times New Roman"/>
          <w:lang w:val="en-CA"/>
        </w:rPr>
        <w:t xml:space="preserve"> Rather, </w:t>
      </w:r>
      <w:r w:rsidR="00904EDB" w:rsidRPr="00CC5771">
        <w:rPr>
          <w:rFonts w:ascii="Times New Roman" w:hAnsi="Times New Roman" w:cs="Times New Roman"/>
          <w:lang w:val="en-CA"/>
        </w:rPr>
        <w:t>most</w:t>
      </w:r>
      <w:r w:rsidR="0028352D" w:rsidRPr="00CC5771">
        <w:rPr>
          <w:rFonts w:ascii="Times New Roman" w:hAnsi="Times New Roman" w:cs="Times New Roman"/>
          <w:lang w:val="en-CA"/>
        </w:rPr>
        <w:t xml:space="preserve"> scholarship </w:t>
      </w:r>
      <w:r w:rsidR="00C76633" w:rsidRPr="00CC5771">
        <w:rPr>
          <w:rFonts w:ascii="Times New Roman" w:hAnsi="Times New Roman" w:cs="Times New Roman"/>
          <w:lang w:val="en-CA"/>
        </w:rPr>
        <w:t xml:space="preserve">has tended </w:t>
      </w:r>
      <w:r w:rsidR="0028352D" w:rsidRPr="00CC5771">
        <w:rPr>
          <w:rFonts w:ascii="Times New Roman" w:hAnsi="Times New Roman" w:cs="Times New Roman"/>
          <w:lang w:val="en-CA"/>
        </w:rPr>
        <w:t xml:space="preserve">to </w:t>
      </w:r>
      <w:r w:rsidR="00E379EA">
        <w:rPr>
          <w:rFonts w:ascii="Times New Roman" w:hAnsi="Times New Roman" w:cs="Times New Roman"/>
          <w:lang w:val="en-CA"/>
        </w:rPr>
        <w:t>move</w:t>
      </w:r>
      <w:r w:rsidR="0028352D" w:rsidRPr="00CC5771">
        <w:rPr>
          <w:rFonts w:ascii="Times New Roman" w:hAnsi="Times New Roman" w:cs="Times New Roman"/>
          <w:lang w:val="en-CA"/>
        </w:rPr>
        <w:t xml:space="preserve"> in complex ways between the promise of human rights protections and criticism. </w:t>
      </w:r>
      <w:r w:rsidR="00147A1B" w:rsidRPr="00CC5771">
        <w:rPr>
          <w:rFonts w:ascii="Times New Roman" w:hAnsi="Times New Roman" w:cs="Times New Roman"/>
          <w:lang w:val="en-CA"/>
        </w:rPr>
        <w:t xml:space="preserve">Building on this literature, we seek to </w:t>
      </w:r>
      <w:r w:rsidR="00C320DF" w:rsidRPr="00CC5771">
        <w:rPr>
          <w:rFonts w:ascii="Times New Roman" w:hAnsi="Times New Roman" w:cs="Times New Roman"/>
          <w:lang w:val="en-CA"/>
        </w:rPr>
        <w:t xml:space="preserve">empirically </w:t>
      </w:r>
      <w:r w:rsidR="00147A1B" w:rsidRPr="00CC5771">
        <w:rPr>
          <w:rFonts w:ascii="Times New Roman" w:hAnsi="Times New Roman" w:cs="Times New Roman"/>
          <w:lang w:val="en-CA"/>
        </w:rPr>
        <w:t>track post-legislative development</w:t>
      </w:r>
      <w:r w:rsidR="00F45D8D" w:rsidRPr="00CC5771">
        <w:rPr>
          <w:rFonts w:ascii="Times New Roman" w:hAnsi="Times New Roman" w:cs="Times New Roman"/>
          <w:lang w:val="en-CA"/>
        </w:rPr>
        <w:t xml:space="preserve">s, suggesting that </w:t>
      </w:r>
      <w:r w:rsidR="003B7A7B" w:rsidRPr="00CC5771">
        <w:rPr>
          <w:rFonts w:ascii="Times New Roman" w:hAnsi="Times New Roman" w:cs="Times New Roman"/>
          <w:lang w:val="en-CA"/>
        </w:rPr>
        <w:t xml:space="preserve">human rights </w:t>
      </w:r>
      <w:r w:rsidR="00F45D8D" w:rsidRPr="00CC5771">
        <w:rPr>
          <w:rFonts w:ascii="Times New Roman" w:hAnsi="Times New Roman" w:cs="Times New Roman"/>
          <w:lang w:val="en-CA"/>
        </w:rPr>
        <w:t>reform</w:t>
      </w:r>
      <w:r w:rsidR="0030522E" w:rsidRPr="00CC5771">
        <w:rPr>
          <w:rFonts w:ascii="Times New Roman" w:hAnsi="Times New Roman" w:cs="Times New Roman"/>
          <w:lang w:val="en-CA"/>
        </w:rPr>
        <w:t xml:space="preserve"> may</w:t>
      </w:r>
      <w:r w:rsidR="00F45D8D" w:rsidRPr="00CC5771">
        <w:rPr>
          <w:rFonts w:ascii="Times New Roman" w:hAnsi="Times New Roman" w:cs="Times New Roman"/>
          <w:lang w:val="en-CA"/>
        </w:rPr>
        <w:t xml:space="preserve"> </w:t>
      </w:r>
      <w:r w:rsidR="007D4ED8" w:rsidRPr="00CC5771">
        <w:rPr>
          <w:rFonts w:ascii="Times New Roman" w:hAnsi="Times New Roman" w:cs="Times New Roman"/>
          <w:lang w:val="en-CA"/>
        </w:rPr>
        <w:t xml:space="preserve">open up space for the emergence of norms that allow </w:t>
      </w:r>
      <w:r w:rsidR="00F45D8D" w:rsidRPr="00CC5771">
        <w:rPr>
          <w:rFonts w:ascii="Times New Roman" w:hAnsi="Times New Roman" w:cs="Times New Roman"/>
          <w:lang w:val="en-CA"/>
        </w:rPr>
        <w:t>people to do gender in a variety of ways</w:t>
      </w:r>
      <w:r w:rsidR="007D4ED8" w:rsidRPr="00CC5771">
        <w:rPr>
          <w:rFonts w:ascii="Times New Roman" w:hAnsi="Times New Roman" w:cs="Times New Roman"/>
          <w:lang w:val="en-CA"/>
        </w:rPr>
        <w:t>.</w:t>
      </w:r>
    </w:p>
    <w:p w14:paraId="0567F54A" w14:textId="6E9860D0" w:rsidR="009432AF" w:rsidRPr="00CC5771" w:rsidRDefault="0099173F" w:rsidP="004D0F4E">
      <w:pPr>
        <w:spacing w:after="240" w:line="480" w:lineRule="auto"/>
        <w:rPr>
          <w:rFonts w:ascii="Times New Roman" w:hAnsi="Times New Roman" w:cs="Times New Roman"/>
          <w:b/>
          <w:lang w:val="en-CA"/>
        </w:rPr>
      </w:pPr>
      <w:r w:rsidRPr="00CC5771">
        <w:rPr>
          <w:rFonts w:ascii="Times New Roman" w:hAnsi="Times New Roman" w:cs="Times New Roman"/>
          <w:b/>
          <w:lang w:val="en-CA"/>
        </w:rPr>
        <w:t xml:space="preserve">II. </w:t>
      </w:r>
      <w:r w:rsidR="00F34BA4" w:rsidRPr="00CC5771">
        <w:rPr>
          <w:rFonts w:ascii="Times New Roman" w:hAnsi="Times New Roman" w:cs="Times New Roman"/>
          <w:b/>
          <w:lang w:val="en-CA"/>
        </w:rPr>
        <w:t>The Making of Gender Identity and Gender Expression in Human Rights Commissions, Human Rights Tribunals, and Legislative Debates</w:t>
      </w:r>
    </w:p>
    <w:p w14:paraId="0D257E9D" w14:textId="4F7DF303" w:rsidR="00E959D2" w:rsidRPr="00CC5771" w:rsidRDefault="006F4A08"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 xml:space="preserve">While every jurisdiction across Canada </w:t>
      </w:r>
      <w:r w:rsidR="00C320DF" w:rsidRPr="00CC5771">
        <w:rPr>
          <w:rFonts w:ascii="Times New Roman" w:hAnsi="Times New Roman" w:cs="Times New Roman"/>
          <w:lang w:val="en-CA"/>
        </w:rPr>
        <w:t>had added</w:t>
      </w:r>
      <w:r w:rsidRPr="00CC5771">
        <w:rPr>
          <w:rFonts w:ascii="Times New Roman" w:hAnsi="Times New Roman" w:cs="Times New Roman"/>
          <w:lang w:val="en-CA"/>
        </w:rPr>
        <w:t xml:space="preserve"> “gender identity” and/or “gender expression” to their </w:t>
      </w:r>
      <w:r w:rsidR="00904EDB" w:rsidRPr="00CC5771">
        <w:rPr>
          <w:rFonts w:ascii="Times New Roman" w:hAnsi="Times New Roman" w:cs="Times New Roman"/>
          <w:lang w:val="en-CA"/>
        </w:rPr>
        <w:t>respective human rights instruments</w:t>
      </w:r>
      <w:r w:rsidR="00F45D8D" w:rsidRPr="00CC5771">
        <w:rPr>
          <w:rFonts w:ascii="Times New Roman" w:hAnsi="Times New Roman" w:cs="Times New Roman"/>
          <w:lang w:val="en-CA"/>
        </w:rPr>
        <w:t xml:space="preserve"> as of 2017,</w:t>
      </w:r>
      <w:r w:rsidRPr="00CC5771">
        <w:rPr>
          <w:rFonts w:ascii="Times New Roman" w:hAnsi="Times New Roman" w:cs="Times New Roman"/>
          <w:lang w:val="en-CA"/>
        </w:rPr>
        <w:t xml:space="preserve"> the terms remain</w:t>
      </w:r>
      <w:r w:rsidR="00F717E2" w:rsidRPr="00CC5771">
        <w:rPr>
          <w:rFonts w:ascii="Times New Roman" w:hAnsi="Times New Roman" w:cs="Times New Roman"/>
          <w:lang w:val="en-CA"/>
        </w:rPr>
        <w:t xml:space="preserve"> legally</w:t>
      </w:r>
      <w:r w:rsidRPr="00CC5771">
        <w:rPr>
          <w:rFonts w:ascii="Times New Roman" w:hAnsi="Times New Roman" w:cs="Times New Roman"/>
          <w:lang w:val="en-CA"/>
        </w:rPr>
        <w:t xml:space="preserve"> undefined</w:t>
      </w:r>
      <w:r w:rsidR="00E959D2" w:rsidRPr="00CC5771">
        <w:rPr>
          <w:rFonts w:ascii="Times New Roman" w:hAnsi="Times New Roman" w:cs="Times New Roman"/>
          <w:lang w:val="en-CA"/>
        </w:rPr>
        <w:t xml:space="preserve">. </w:t>
      </w:r>
      <w:r w:rsidR="00772B6B" w:rsidRPr="00CC5771">
        <w:rPr>
          <w:rFonts w:ascii="Times New Roman" w:hAnsi="Times New Roman" w:cs="Times New Roman"/>
          <w:lang w:val="en-CA"/>
        </w:rPr>
        <w:t>This has meant that</w:t>
      </w:r>
      <w:r w:rsidR="00E959D2" w:rsidRPr="00CC5771">
        <w:rPr>
          <w:rFonts w:ascii="Times New Roman" w:hAnsi="Times New Roman" w:cs="Times New Roman"/>
          <w:lang w:val="en-CA"/>
        </w:rPr>
        <w:t xml:space="preserve"> human rights commissions</w:t>
      </w:r>
      <w:r w:rsidR="00772B6B" w:rsidRPr="00CC5771">
        <w:rPr>
          <w:rFonts w:ascii="Times New Roman" w:hAnsi="Times New Roman" w:cs="Times New Roman"/>
          <w:lang w:val="en-CA"/>
        </w:rPr>
        <w:t xml:space="preserve"> and tribunals</w:t>
      </w:r>
      <w:r w:rsidR="007D0102" w:rsidRPr="00CC5771">
        <w:rPr>
          <w:rFonts w:ascii="Times New Roman" w:hAnsi="Times New Roman" w:cs="Times New Roman"/>
          <w:lang w:val="en-CA"/>
        </w:rPr>
        <w:t xml:space="preserve"> </w:t>
      </w:r>
      <w:r w:rsidR="00115EE7" w:rsidRPr="00CC5771">
        <w:rPr>
          <w:rFonts w:ascii="Times New Roman" w:hAnsi="Times New Roman" w:cs="Times New Roman"/>
          <w:lang w:val="en-CA"/>
        </w:rPr>
        <w:t xml:space="preserve">have </w:t>
      </w:r>
      <w:r w:rsidR="005652FA" w:rsidRPr="00CC5771">
        <w:rPr>
          <w:rFonts w:ascii="Times New Roman" w:hAnsi="Times New Roman" w:cs="Times New Roman"/>
          <w:lang w:val="en-CA"/>
        </w:rPr>
        <w:t>stepped in</w:t>
      </w:r>
      <w:r w:rsidR="007D0102" w:rsidRPr="00CC5771">
        <w:rPr>
          <w:rFonts w:ascii="Times New Roman" w:hAnsi="Times New Roman" w:cs="Times New Roman"/>
          <w:lang w:val="en-CA"/>
        </w:rPr>
        <w:t xml:space="preserve"> to provide interpretive guidance on the meaning of</w:t>
      </w:r>
      <w:r w:rsidR="000507AE" w:rsidRPr="00CC5771">
        <w:rPr>
          <w:rFonts w:ascii="Times New Roman" w:hAnsi="Times New Roman" w:cs="Times New Roman"/>
          <w:lang w:val="en-CA"/>
        </w:rPr>
        <w:t xml:space="preserve"> these</w:t>
      </w:r>
      <w:r w:rsidR="007D0102" w:rsidRPr="00CC5771">
        <w:rPr>
          <w:rFonts w:ascii="Times New Roman" w:hAnsi="Times New Roman" w:cs="Times New Roman"/>
          <w:lang w:val="en-CA"/>
        </w:rPr>
        <w:t xml:space="preserve"> </w:t>
      </w:r>
      <w:r w:rsidR="00A27C3A" w:rsidRPr="00CC5771">
        <w:rPr>
          <w:rFonts w:ascii="Times New Roman" w:hAnsi="Times New Roman" w:cs="Times New Roman"/>
          <w:lang w:val="en-CA"/>
        </w:rPr>
        <w:t>legislative terms</w:t>
      </w:r>
      <w:r w:rsidR="007D0102" w:rsidRPr="00CC5771">
        <w:rPr>
          <w:rFonts w:ascii="Times New Roman" w:hAnsi="Times New Roman" w:cs="Times New Roman"/>
          <w:lang w:val="en-CA"/>
        </w:rPr>
        <w:t>.</w:t>
      </w:r>
      <w:r w:rsidR="00694325" w:rsidRPr="00CC5771">
        <w:rPr>
          <w:rFonts w:ascii="Times New Roman" w:hAnsi="Times New Roman" w:cs="Times New Roman"/>
          <w:lang w:val="en-CA"/>
        </w:rPr>
        <w:t xml:space="preserve"> The section below tracks the </w:t>
      </w:r>
      <w:r w:rsidR="00084A2F" w:rsidRPr="00CC5771">
        <w:rPr>
          <w:rFonts w:ascii="Times New Roman" w:hAnsi="Times New Roman" w:cs="Times New Roman"/>
          <w:lang w:val="en-CA"/>
        </w:rPr>
        <w:t>making</w:t>
      </w:r>
      <w:r w:rsidR="00694325" w:rsidRPr="00CC5771">
        <w:rPr>
          <w:rFonts w:ascii="Times New Roman" w:hAnsi="Times New Roman" w:cs="Times New Roman"/>
          <w:lang w:val="en-CA"/>
        </w:rPr>
        <w:t xml:space="preserve"> of “gender identity” and “gender expression</w:t>
      </w:r>
      <w:r w:rsidR="009C3F79">
        <w:rPr>
          <w:rFonts w:ascii="Times New Roman" w:hAnsi="Times New Roman" w:cs="Times New Roman"/>
          <w:lang w:val="en-CA"/>
        </w:rPr>
        <w:t>,”</w:t>
      </w:r>
      <w:r w:rsidR="00694325" w:rsidRPr="00CC5771">
        <w:rPr>
          <w:rFonts w:ascii="Times New Roman" w:hAnsi="Times New Roman" w:cs="Times New Roman"/>
          <w:lang w:val="en-CA"/>
        </w:rPr>
        <w:t xml:space="preserve"> as </w:t>
      </w:r>
      <w:r w:rsidR="00A27C3A" w:rsidRPr="00CC5771">
        <w:rPr>
          <w:rFonts w:ascii="Times New Roman" w:hAnsi="Times New Roman" w:cs="Times New Roman"/>
          <w:lang w:val="en-CA"/>
        </w:rPr>
        <w:t>described</w:t>
      </w:r>
      <w:r w:rsidR="00694325" w:rsidRPr="00CC5771">
        <w:rPr>
          <w:rFonts w:ascii="Times New Roman" w:hAnsi="Times New Roman" w:cs="Times New Roman"/>
          <w:lang w:val="en-CA"/>
        </w:rPr>
        <w:t xml:space="preserve"> in a series of statements from human rights commissions, </w:t>
      </w:r>
      <w:r w:rsidR="00904EDB" w:rsidRPr="00CC5771">
        <w:rPr>
          <w:rFonts w:ascii="Times New Roman" w:hAnsi="Times New Roman" w:cs="Times New Roman"/>
          <w:lang w:val="en-CA"/>
        </w:rPr>
        <w:t>tribunal decisions</w:t>
      </w:r>
      <w:r w:rsidR="00694325" w:rsidRPr="00CC5771">
        <w:rPr>
          <w:rFonts w:ascii="Times New Roman" w:hAnsi="Times New Roman" w:cs="Times New Roman"/>
          <w:lang w:val="en-CA"/>
        </w:rPr>
        <w:t xml:space="preserve">, and </w:t>
      </w:r>
      <w:r w:rsidR="00B57CEE" w:rsidRPr="00CC5771">
        <w:rPr>
          <w:rFonts w:ascii="Times New Roman" w:hAnsi="Times New Roman" w:cs="Times New Roman"/>
          <w:lang w:val="en-CA"/>
        </w:rPr>
        <w:t>legislative debates</w:t>
      </w:r>
      <w:r w:rsidR="00694325" w:rsidRPr="00CC5771">
        <w:rPr>
          <w:rFonts w:ascii="Times New Roman" w:hAnsi="Times New Roman" w:cs="Times New Roman"/>
          <w:lang w:val="en-CA"/>
        </w:rPr>
        <w:t>.</w:t>
      </w:r>
      <w:r w:rsidR="00904EDB" w:rsidRPr="00CC5771">
        <w:rPr>
          <w:rFonts w:ascii="Times New Roman" w:hAnsi="Times New Roman" w:cs="Times New Roman"/>
          <w:lang w:val="en-CA"/>
        </w:rPr>
        <w:t xml:space="preserve"> </w:t>
      </w:r>
      <w:r w:rsidR="00F45D8D" w:rsidRPr="00CC5771">
        <w:rPr>
          <w:rFonts w:ascii="Times New Roman" w:hAnsi="Times New Roman" w:cs="Times New Roman"/>
          <w:lang w:val="en-CA"/>
        </w:rPr>
        <w:t xml:space="preserve">Here, we </w:t>
      </w:r>
      <w:r w:rsidR="00BE21E8" w:rsidRPr="00CC5771">
        <w:rPr>
          <w:rFonts w:ascii="Times New Roman" w:hAnsi="Times New Roman" w:cs="Times New Roman"/>
          <w:lang w:val="en-CA"/>
        </w:rPr>
        <w:t xml:space="preserve">analyze </w:t>
      </w:r>
      <w:r w:rsidR="00F45D8D" w:rsidRPr="00CC5771">
        <w:rPr>
          <w:rFonts w:ascii="Times New Roman" w:hAnsi="Times New Roman" w:cs="Times New Roman"/>
          <w:lang w:val="en-CA"/>
        </w:rPr>
        <w:t xml:space="preserve">the tension between expansive definitions of “gender identity” and “gender expression” </w:t>
      </w:r>
      <w:r w:rsidR="00C320DF" w:rsidRPr="00CC5771">
        <w:rPr>
          <w:rFonts w:ascii="Times New Roman" w:hAnsi="Times New Roman" w:cs="Times New Roman"/>
          <w:lang w:val="en-CA"/>
        </w:rPr>
        <w:t>designed to</w:t>
      </w:r>
      <w:r w:rsidR="00F45D8D" w:rsidRPr="00CC5771">
        <w:rPr>
          <w:rFonts w:ascii="Times New Roman" w:hAnsi="Times New Roman" w:cs="Times New Roman"/>
          <w:lang w:val="en-CA"/>
        </w:rPr>
        <w:t xml:space="preserve"> apply to everyone, and efforts to delineate the terms to </w:t>
      </w:r>
      <w:r w:rsidR="00C320DF" w:rsidRPr="00CC5771">
        <w:rPr>
          <w:rFonts w:ascii="Times New Roman" w:hAnsi="Times New Roman" w:cs="Times New Roman"/>
          <w:lang w:val="en-CA"/>
        </w:rPr>
        <w:t xml:space="preserve">only </w:t>
      </w:r>
      <w:r w:rsidR="00F45D8D" w:rsidRPr="00CC5771">
        <w:rPr>
          <w:rFonts w:ascii="Times New Roman" w:hAnsi="Times New Roman" w:cs="Times New Roman"/>
          <w:lang w:val="en-CA"/>
        </w:rPr>
        <w:t>apply to trans</w:t>
      </w:r>
      <w:r w:rsidR="000A21DB" w:rsidRPr="00CC5771">
        <w:rPr>
          <w:rFonts w:ascii="Times New Roman" w:hAnsi="Times New Roman" w:cs="Times New Roman"/>
          <w:lang w:val="en-CA"/>
        </w:rPr>
        <w:t>gender</w:t>
      </w:r>
      <w:r w:rsidR="00F45D8D" w:rsidRPr="00CC5771">
        <w:rPr>
          <w:rFonts w:ascii="Times New Roman" w:hAnsi="Times New Roman" w:cs="Times New Roman"/>
          <w:lang w:val="en-CA"/>
        </w:rPr>
        <w:t xml:space="preserve"> and/or non-binary people. While </w:t>
      </w:r>
      <w:r w:rsidR="00AA6582" w:rsidRPr="00CC5771">
        <w:rPr>
          <w:rFonts w:ascii="Times New Roman" w:hAnsi="Times New Roman" w:cs="Times New Roman"/>
          <w:lang w:val="en-CA"/>
        </w:rPr>
        <w:t>these sources provide</w:t>
      </w:r>
      <w:r w:rsidR="00F45D8D" w:rsidRPr="00CC5771">
        <w:rPr>
          <w:rFonts w:ascii="Times New Roman" w:hAnsi="Times New Roman" w:cs="Times New Roman"/>
          <w:lang w:val="en-CA"/>
        </w:rPr>
        <w:t xml:space="preserve"> clues about what the terms mean, and to whom they apply, we argue that </w:t>
      </w:r>
      <w:r w:rsidR="00AA6582" w:rsidRPr="00CC5771">
        <w:rPr>
          <w:rFonts w:ascii="Times New Roman" w:hAnsi="Times New Roman" w:cs="Times New Roman"/>
          <w:lang w:val="en-CA"/>
        </w:rPr>
        <w:t>none</w:t>
      </w:r>
      <w:r w:rsidR="00F45D8D" w:rsidRPr="00CC5771">
        <w:rPr>
          <w:rFonts w:ascii="Times New Roman" w:hAnsi="Times New Roman" w:cs="Times New Roman"/>
          <w:lang w:val="en-CA"/>
        </w:rPr>
        <w:t xml:space="preserve"> have yet</w:t>
      </w:r>
      <w:r w:rsidR="00C320DF" w:rsidRPr="00CC5771">
        <w:rPr>
          <w:rFonts w:ascii="Times New Roman" w:hAnsi="Times New Roman" w:cs="Times New Roman"/>
          <w:lang w:val="en-CA"/>
        </w:rPr>
        <w:t xml:space="preserve"> to provide</w:t>
      </w:r>
      <w:r w:rsidR="00F45D8D" w:rsidRPr="00CC5771">
        <w:rPr>
          <w:rFonts w:ascii="Times New Roman" w:hAnsi="Times New Roman" w:cs="Times New Roman"/>
          <w:lang w:val="en-CA"/>
        </w:rPr>
        <w:t xml:space="preserve"> definitions that can be </w:t>
      </w:r>
      <w:r w:rsidR="003B6034" w:rsidRPr="00CC5771">
        <w:rPr>
          <w:rFonts w:ascii="Times New Roman" w:hAnsi="Times New Roman" w:cs="Times New Roman"/>
          <w:lang w:val="en-CA"/>
        </w:rPr>
        <w:t>used</w:t>
      </w:r>
      <w:r w:rsidR="00F45D8D" w:rsidRPr="00CC5771">
        <w:rPr>
          <w:rFonts w:ascii="Times New Roman" w:hAnsi="Times New Roman" w:cs="Times New Roman"/>
          <w:lang w:val="en-CA"/>
        </w:rPr>
        <w:t xml:space="preserve"> with any degree of consistency</w:t>
      </w:r>
      <w:r w:rsidR="00B57CEE" w:rsidRPr="00CC5771">
        <w:rPr>
          <w:rFonts w:ascii="Times New Roman" w:hAnsi="Times New Roman" w:cs="Times New Roman"/>
          <w:lang w:val="en-CA"/>
        </w:rPr>
        <w:t xml:space="preserve"> </w:t>
      </w:r>
      <w:r w:rsidR="007E72E4" w:rsidRPr="00CC5771">
        <w:rPr>
          <w:rFonts w:ascii="Times New Roman" w:hAnsi="Times New Roman" w:cs="Times New Roman"/>
          <w:lang w:val="en-CA"/>
        </w:rPr>
        <w:t>in the future</w:t>
      </w:r>
      <w:r w:rsidR="00F45D8D" w:rsidRPr="00CC5771">
        <w:rPr>
          <w:rFonts w:ascii="Times New Roman" w:hAnsi="Times New Roman" w:cs="Times New Roman"/>
          <w:lang w:val="en-CA"/>
        </w:rPr>
        <w:t>.</w:t>
      </w:r>
    </w:p>
    <w:p w14:paraId="4B7B0355" w14:textId="1308B48F" w:rsidR="004D070A" w:rsidRPr="00461619" w:rsidRDefault="000A2627" w:rsidP="004D0F4E">
      <w:pPr>
        <w:spacing w:after="240" w:line="480" w:lineRule="auto"/>
        <w:rPr>
          <w:rFonts w:ascii="Times New Roman" w:hAnsi="Times New Roman" w:cs="Times New Roman"/>
          <w:b/>
          <w:lang w:val="en-CA"/>
        </w:rPr>
      </w:pPr>
      <w:r w:rsidRPr="00BE61E5">
        <w:rPr>
          <w:rFonts w:ascii="Times New Roman" w:hAnsi="Times New Roman" w:cs="Times New Roman"/>
          <w:b/>
          <w:lang w:val="en-CA"/>
        </w:rPr>
        <w:lastRenderedPageBreak/>
        <w:t xml:space="preserve">1. </w:t>
      </w:r>
      <w:r w:rsidR="004D070A" w:rsidRPr="00BE61E5">
        <w:rPr>
          <w:rFonts w:ascii="Times New Roman" w:hAnsi="Times New Roman" w:cs="Times New Roman"/>
          <w:b/>
          <w:lang w:val="en-CA"/>
        </w:rPr>
        <w:t xml:space="preserve">Human </w:t>
      </w:r>
      <w:r w:rsidRPr="000A2627">
        <w:rPr>
          <w:rFonts w:ascii="Times New Roman" w:hAnsi="Times New Roman" w:cs="Times New Roman"/>
          <w:b/>
          <w:lang w:val="en-CA"/>
        </w:rPr>
        <w:t>Rights Commissi</w:t>
      </w:r>
      <w:r w:rsidRPr="00BE61E5">
        <w:rPr>
          <w:rFonts w:ascii="Times New Roman" w:hAnsi="Times New Roman" w:cs="Times New Roman"/>
          <w:b/>
          <w:lang w:val="en-CA"/>
        </w:rPr>
        <w:t>on Definitions</w:t>
      </w:r>
    </w:p>
    <w:p w14:paraId="50C51049" w14:textId="7952971B" w:rsidR="007D0102" w:rsidRPr="00CC5771" w:rsidRDefault="00E959D2"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Across the country, human rights commissions have</w:t>
      </w:r>
      <w:r w:rsidR="007E72E4" w:rsidRPr="00CC5771">
        <w:rPr>
          <w:rFonts w:ascii="Times New Roman" w:hAnsi="Times New Roman" w:cs="Times New Roman"/>
          <w:lang w:val="en-CA"/>
        </w:rPr>
        <w:t>, as part of their public education mandate,</w:t>
      </w:r>
      <w:r w:rsidRPr="00CC5771">
        <w:rPr>
          <w:rFonts w:ascii="Times New Roman" w:hAnsi="Times New Roman" w:cs="Times New Roman"/>
          <w:lang w:val="en-CA"/>
        </w:rPr>
        <w:t xml:space="preserve"> produced policies and other interpretive aids that</w:t>
      </w:r>
      <w:r w:rsidR="007E72E4" w:rsidRPr="00CC5771">
        <w:rPr>
          <w:rFonts w:ascii="Times New Roman" w:hAnsi="Times New Roman" w:cs="Times New Roman"/>
          <w:lang w:val="en-CA"/>
        </w:rPr>
        <w:t xml:space="preserve"> </w:t>
      </w:r>
      <w:r w:rsidRPr="00CC5771">
        <w:rPr>
          <w:rFonts w:ascii="Times New Roman" w:hAnsi="Times New Roman" w:cs="Times New Roman"/>
          <w:lang w:val="en-CA"/>
        </w:rPr>
        <w:t xml:space="preserve">help define “gender identity” and “gender expression” </w:t>
      </w:r>
      <w:r w:rsidR="00C76633" w:rsidRPr="00CC5771">
        <w:rPr>
          <w:rFonts w:ascii="Times New Roman" w:hAnsi="Times New Roman" w:cs="Times New Roman"/>
          <w:lang w:val="en-CA"/>
        </w:rPr>
        <w:t>in</w:t>
      </w:r>
      <w:r w:rsidR="00F717E2" w:rsidRPr="00CC5771">
        <w:rPr>
          <w:rFonts w:ascii="Times New Roman" w:hAnsi="Times New Roman" w:cs="Times New Roman"/>
          <w:lang w:val="en-CA"/>
        </w:rPr>
        <w:t xml:space="preserve"> human rights law</w:t>
      </w:r>
      <w:r w:rsidRPr="00CC5771">
        <w:rPr>
          <w:rFonts w:ascii="Times New Roman" w:hAnsi="Times New Roman" w:cs="Times New Roman"/>
          <w:lang w:val="en-CA"/>
        </w:rPr>
        <w:t xml:space="preserve">. While these interpretive guides are non-binding on human rights tribunals tasked with </w:t>
      </w:r>
      <w:r w:rsidR="00240CFF" w:rsidRPr="00CC5771">
        <w:rPr>
          <w:rFonts w:ascii="Times New Roman" w:hAnsi="Times New Roman" w:cs="Times New Roman"/>
          <w:lang w:val="en-CA"/>
        </w:rPr>
        <w:t>adjudicating complaints</w:t>
      </w:r>
      <w:r w:rsidRPr="00CC5771">
        <w:rPr>
          <w:rFonts w:ascii="Times New Roman" w:hAnsi="Times New Roman" w:cs="Times New Roman"/>
          <w:lang w:val="en-CA"/>
        </w:rPr>
        <w:t xml:space="preserve">, they provide </w:t>
      </w:r>
      <w:r w:rsidR="00C320DF" w:rsidRPr="00CC5771">
        <w:rPr>
          <w:rFonts w:ascii="Times New Roman" w:hAnsi="Times New Roman" w:cs="Times New Roman"/>
          <w:lang w:val="en-CA"/>
        </w:rPr>
        <w:t>provisional</w:t>
      </w:r>
      <w:r w:rsidR="001D0A69" w:rsidRPr="00CC5771">
        <w:rPr>
          <w:rFonts w:ascii="Times New Roman" w:hAnsi="Times New Roman" w:cs="Times New Roman"/>
          <w:lang w:val="en-CA"/>
        </w:rPr>
        <w:t xml:space="preserve"> </w:t>
      </w:r>
      <w:r w:rsidRPr="00CC5771">
        <w:rPr>
          <w:rFonts w:ascii="Times New Roman" w:hAnsi="Times New Roman" w:cs="Times New Roman"/>
          <w:lang w:val="en-CA"/>
        </w:rPr>
        <w:t xml:space="preserve">guidance </w:t>
      </w:r>
      <w:r w:rsidR="00B57CEE" w:rsidRPr="00CC5771">
        <w:rPr>
          <w:rFonts w:ascii="Times New Roman" w:hAnsi="Times New Roman" w:cs="Times New Roman"/>
          <w:lang w:val="en-CA"/>
        </w:rPr>
        <w:t>and can be used as evidence when considering</w:t>
      </w:r>
      <w:r w:rsidRPr="00CC5771">
        <w:rPr>
          <w:rFonts w:ascii="Times New Roman" w:hAnsi="Times New Roman" w:cs="Times New Roman"/>
          <w:lang w:val="en-CA"/>
        </w:rPr>
        <w:t xml:space="preserve"> the meaning of </w:t>
      </w:r>
      <w:r w:rsidR="00C76633" w:rsidRPr="00CC5771">
        <w:rPr>
          <w:rFonts w:ascii="Times New Roman" w:hAnsi="Times New Roman" w:cs="Times New Roman"/>
          <w:lang w:val="en-CA"/>
        </w:rPr>
        <w:t xml:space="preserve">two of </w:t>
      </w:r>
      <w:r w:rsidRPr="00CC5771">
        <w:rPr>
          <w:rFonts w:ascii="Times New Roman" w:hAnsi="Times New Roman" w:cs="Times New Roman"/>
          <w:lang w:val="en-CA"/>
        </w:rPr>
        <w:t>Canada</w:t>
      </w:r>
      <w:r w:rsidR="00912EC7">
        <w:rPr>
          <w:rFonts w:ascii="Times New Roman" w:hAnsi="Times New Roman" w:cs="Times New Roman"/>
          <w:lang w:val="en-CA"/>
        </w:rPr>
        <w:t>’</w:t>
      </w:r>
      <w:r w:rsidRPr="00CC5771">
        <w:rPr>
          <w:rFonts w:ascii="Times New Roman" w:hAnsi="Times New Roman" w:cs="Times New Roman"/>
          <w:lang w:val="en-CA"/>
        </w:rPr>
        <w:t xml:space="preserve">s newest human rights categories. </w:t>
      </w:r>
      <w:r w:rsidR="007D0102" w:rsidRPr="00CC5771">
        <w:rPr>
          <w:rFonts w:ascii="Times New Roman" w:hAnsi="Times New Roman" w:cs="Times New Roman"/>
          <w:lang w:val="en-CA"/>
        </w:rPr>
        <w:t xml:space="preserve">Published after the passage of </w:t>
      </w:r>
      <w:r w:rsidR="007D0102" w:rsidRPr="00CC5771">
        <w:rPr>
          <w:rFonts w:ascii="Times New Roman" w:hAnsi="Times New Roman" w:cs="Times New Roman"/>
          <w:i/>
          <w:lang w:val="en-CA"/>
        </w:rPr>
        <w:t>Toby</w:t>
      </w:r>
      <w:r w:rsidR="00912EC7">
        <w:rPr>
          <w:rFonts w:ascii="Times New Roman" w:hAnsi="Times New Roman" w:cs="Times New Roman"/>
          <w:i/>
          <w:lang w:val="en-CA"/>
        </w:rPr>
        <w:t>’</w:t>
      </w:r>
      <w:r w:rsidR="007D0102" w:rsidRPr="00CC5771">
        <w:rPr>
          <w:rFonts w:ascii="Times New Roman" w:hAnsi="Times New Roman" w:cs="Times New Roman"/>
          <w:i/>
          <w:lang w:val="en-CA"/>
        </w:rPr>
        <w:t>s Act</w:t>
      </w:r>
      <w:r w:rsidR="007D0102" w:rsidRPr="00CC5771">
        <w:rPr>
          <w:rFonts w:ascii="Times New Roman" w:hAnsi="Times New Roman" w:cs="Times New Roman"/>
          <w:lang w:val="en-CA"/>
        </w:rPr>
        <w:t xml:space="preserve"> in 2012,</w:t>
      </w:r>
      <w:r w:rsidR="007D0102" w:rsidRPr="00CC5771">
        <w:rPr>
          <w:rStyle w:val="FootnoteReference"/>
          <w:rFonts w:ascii="Times New Roman" w:hAnsi="Times New Roman" w:cs="Times New Roman"/>
          <w:lang w:val="en-CA"/>
        </w:rPr>
        <w:footnoteReference w:id="48"/>
      </w:r>
      <w:r w:rsidR="007D0102" w:rsidRPr="00CC5771">
        <w:rPr>
          <w:rFonts w:ascii="Times New Roman" w:hAnsi="Times New Roman" w:cs="Times New Roman"/>
          <w:lang w:val="en-CA"/>
        </w:rPr>
        <w:t xml:space="preserve"> the</w:t>
      </w:r>
      <w:r w:rsidR="00FA116D" w:rsidRPr="00CC5771">
        <w:rPr>
          <w:rFonts w:ascii="Times New Roman" w:hAnsi="Times New Roman" w:cs="Times New Roman"/>
          <w:lang w:val="en-CA"/>
        </w:rPr>
        <w:t xml:space="preserve"> </w:t>
      </w:r>
      <w:r w:rsidR="00250B11" w:rsidRPr="00CC5771">
        <w:rPr>
          <w:rFonts w:ascii="Times New Roman" w:hAnsi="Times New Roman" w:cs="Times New Roman"/>
          <w:lang w:val="en-CA"/>
        </w:rPr>
        <w:t>OHRC</w:t>
      </w:r>
      <w:r w:rsidR="00912EC7">
        <w:rPr>
          <w:rFonts w:ascii="Times New Roman" w:hAnsi="Times New Roman" w:cs="Times New Roman"/>
          <w:lang w:val="en-CA"/>
        </w:rPr>
        <w:t>’</w:t>
      </w:r>
      <w:r w:rsidR="00250B11" w:rsidRPr="00CC5771">
        <w:rPr>
          <w:rFonts w:ascii="Times New Roman" w:hAnsi="Times New Roman" w:cs="Times New Roman"/>
          <w:lang w:val="en-CA"/>
        </w:rPr>
        <w:t xml:space="preserve">s </w:t>
      </w:r>
      <w:r w:rsidR="00C320DF" w:rsidRPr="00CC5771">
        <w:rPr>
          <w:rFonts w:ascii="Times New Roman" w:hAnsi="Times New Roman" w:cs="Times New Roman"/>
          <w:i/>
          <w:lang w:val="en-CA"/>
        </w:rPr>
        <w:t>Policy on preventing discrimination because of gender i</w:t>
      </w:r>
      <w:r w:rsidR="00FA116D" w:rsidRPr="00CC5771">
        <w:rPr>
          <w:rFonts w:ascii="Times New Roman" w:hAnsi="Times New Roman" w:cs="Times New Roman"/>
          <w:i/>
          <w:lang w:val="en-CA"/>
        </w:rPr>
        <w:t xml:space="preserve">dentity and </w:t>
      </w:r>
      <w:r w:rsidR="00C320DF" w:rsidRPr="00CC5771">
        <w:rPr>
          <w:rFonts w:ascii="Times New Roman" w:hAnsi="Times New Roman" w:cs="Times New Roman"/>
          <w:i/>
          <w:lang w:val="en-CA"/>
        </w:rPr>
        <w:t>gender e</w:t>
      </w:r>
      <w:r w:rsidR="00AD20A4" w:rsidRPr="00CC5771">
        <w:rPr>
          <w:rFonts w:ascii="Times New Roman" w:hAnsi="Times New Roman" w:cs="Times New Roman"/>
          <w:i/>
          <w:lang w:val="en-CA"/>
        </w:rPr>
        <w:t>xpression</w:t>
      </w:r>
      <w:r w:rsidR="000964D8" w:rsidRPr="00CC5771">
        <w:rPr>
          <w:rFonts w:ascii="Times New Roman" w:hAnsi="Times New Roman" w:cs="Times New Roman"/>
          <w:lang w:val="en-CA"/>
        </w:rPr>
        <w:t xml:space="preserve"> defines “gender identity” as “each person</w:t>
      </w:r>
      <w:r w:rsidR="00912EC7">
        <w:rPr>
          <w:rFonts w:ascii="Times New Roman" w:hAnsi="Times New Roman" w:cs="Times New Roman"/>
          <w:lang w:val="en-CA"/>
        </w:rPr>
        <w:t>’</w:t>
      </w:r>
      <w:r w:rsidR="000964D8" w:rsidRPr="00CC5771">
        <w:rPr>
          <w:rFonts w:ascii="Times New Roman" w:hAnsi="Times New Roman" w:cs="Times New Roman"/>
          <w:lang w:val="en-CA"/>
        </w:rPr>
        <w:t>s internal and individual experience of gender. It is a person</w:t>
      </w:r>
      <w:r w:rsidR="00912EC7">
        <w:rPr>
          <w:rFonts w:ascii="Times New Roman" w:hAnsi="Times New Roman" w:cs="Times New Roman"/>
          <w:lang w:val="en-CA"/>
        </w:rPr>
        <w:t>’</w:t>
      </w:r>
      <w:r w:rsidR="000964D8" w:rsidRPr="00CC5771">
        <w:rPr>
          <w:rFonts w:ascii="Times New Roman" w:hAnsi="Times New Roman" w:cs="Times New Roman"/>
          <w:lang w:val="en-CA"/>
        </w:rPr>
        <w:t>s sense of being a woman, a man, both, neither, or anywhere along the gender spectrum. A person</w:t>
      </w:r>
      <w:r w:rsidR="00912EC7">
        <w:rPr>
          <w:rFonts w:ascii="Times New Roman" w:hAnsi="Times New Roman" w:cs="Times New Roman"/>
          <w:lang w:val="en-CA"/>
        </w:rPr>
        <w:t>’</w:t>
      </w:r>
      <w:r w:rsidR="000964D8" w:rsidRPr="00CC5771">
        <w:rPr>
          <w:rFonts w:ascii="Times New Roman" w:hAnsi="Times New Roman" w:cs="Times New Roman"/>
          <w:lang w:val="en-CA"/>
        </w:rPr>
        <w:t>s gender identity may be the same as or different from their birth-assigned sex.”</w:t>
      </w:r>
      <w:r w:rsidR="00AD20A4" w:rsidRPr="00CC5771">
        <w:rPr>
          <w:rStyle w:val="FootnoteReference"/>
          <w:rFonts w:ascii="Times New Roman" w:hAnsi="Times New Roman" w:cs="Times New Roman"/>
          <w:lang w:val="en-CA"/>
        </w:rPr>
        <w:footnoteReference w:id="49"/>
      </w:r>
      <w:r w:rsidR="00FA116D" w:rsidRPr="00CC5771">
        <w:rPr>
          <w:rFonts w:ascii="Times New Roman" w:hAnsi="Times New Roman" w:cs="Times New Roman"/>
          <w:lang w:val="en-CA"/>
        </w:rPr>
        <w:t xml:space="preserve"> </w:t>
      </w:r>
      <w:r w:rsidR="00C17C9F" w:rsidRPr="00CC5771">
        <w:rPr>
          <w:rFonts w:ascii="Times New Roman" w:hAnsi="Times New Roman" w:cs="Times New Roman"/>
          <w:lang w:val="en-CA"/>
        </w:rPr>
        <w:t>As this passage makes clear, the</w:t>
      </w:r>
      <w:r w:rsidR="00772B6B" w:rsidRPr="00CC5771">
        <w:rPr>
          <w:rFonts w:ascii="Times New Roman" w:hAnsi="Times New Roman" w:cs="Times New Roman"/>
          <w:lang w:val="en-CA"/>
        </w:rPr>
        <w:t xml:space="preserve"> OHRC </w:t>
      </w:r>
      <w:r w:rsidR="007D0102" w:rsidRPr="00CC5771">
        <w:rPr>
          <w:rFonts w:ascii="Times New Roman" w:hAnsi="Times New Roman" w:cs="Times New Roman"/>
          <w:lang w:val="en-CA"/>
        </w:rPr>
        <w:t xml:space="preserve">constructs “gender identity” </w:t>
      </w:r>
      <w:r w:rsidR="00F717E2" w:rsidRPr="00CC5771">
        <w:rPr>
          <w:rFonts w:ascii="Times New Roman" w:hAnsi="Times New Roman" w:cs="Times New Roman"/>
          <w:lang w:val="en-CA"/>
        </w:rPr>
        <w:t>as a concept focusing</w:t>
      </w:r>
      <w:r w:rsidR="00772B6B" w:rsidRPr="00CC5771">
        <w:rPr>
          <w:rFonts w:ascii="Times New Roman" w:hAnsi="Times New Roman" w:cs="Times New Roman"/>
          <w:lang w:val="en-CA"/>
        </w:rPr>
        <w:t xml:space="preserve"> on individual self-identifi</w:t>
      </w:r>
      <w:r w:rsidR="000A21DB" w:rsidRPr="00CC5771">
        <w:rPr>
          <w:rFonts w:ascii="Times New Roman" w:hAnsi="Times New Roman" w:cs="Times New Roman"/>
          <w:lang w:val="en-CA"/>
        </w:rPr>
        <w:t>cation</w:t>
      </w:r>
      <w:r w:rsidR="00772B6B" w:rsidRPr="00CC5771">
        <w:rPr>
          <w:rFonts w:ascii="Times New Roman" w:hAnsi="Times New Roman" w:cs="Times New Roman"/>
          <w:lang w:val="en-CA"/>
        </w:rPr>
        <w:t xml:space="preserve">. By contrast, the OHRC defines “gender expression” as “how a person </w:t>
      </w:r>
      <w:r w:rsidR="00827669" w:rsidRPr="00CC5771">
        <w:rPr>
          <w:rFonts w:ascii="Times New Roman" w:hAnsi="Times New Roman" w:cs="Times New Roman"/>
          <w:lang w:val="en-CA"/>
        </w:rPr>
        <w:t>publicly</w:t>
      </w:r>
      <w:r w:rsidR="00772B6B" w:rsidRPr="00CC5771">
        <w:rPr>
          <w:rFonts w:ascii="Times New Roman" w:hAnsi="Times New Roman" w:cs="Times New Roman"/>
          <w:lang w:val="en-CA"/>
        </w:rPr>
        <w:t xml:space="preserve"> expresses or presents their gender. This can include </w:t>
      </w:r>
      <w:r w:rsidR="005629AD" w:rsidRPr="00CC5771">
        <w:rPr>
          <w:rFonts w:ascii="Times New Roman" w:hAnsi="Times New Roman" w:cs="Times New Roman"/>
          <w:lang w:val="en-CA"/>
        </w:rPr>
        <w:t>behaviour</w:t>
      </w:r>
      <w:r w:rsidR="00772B6B" w:rsidRPr="00CC5771">
        <w:rPr>
          <w:rFonts w:ascii="Times New Roman" w:hAnsi="Times New Roman" w:cs="Times New Roman"/>
          <w:lang w:val="en-CA"/>
        </w:rPr>
        <w:t xml:space="preserve"> and outward appearance such as dress, hair, make-up, body language and voice. A person</w:t>
      </w:r>
      <w:r w:rsidR="00912EC7">
        <w:rPr>
          <w:rFonts w:ascii="Times New Roman" w:hAnsi="Times New Roman" w:cs="Times New Roman"/>
          <w:lang w:val="en-CA"/>
        </w:rPr>
        <w:t>’</w:t>
      </w:r>
      <w:r w:rsidR="00772B6B" w:rsidRPr="00CC5771">
        <w:rPr>
          <w:rFonts w:ascii="Times New Roman" w:hAnsi="Times New Roman" w:cs="Times New Roman"/>
          <w:lang w:val="en-CA"/>
        </w:rPr>
        <w:t>s chosen name and pronoun are also common ways of expressin</w:t>
      </w:r>
      <w:r w:rsidR="005E027F" w:rsidRPr="00CC5771">
        <w:rPr>
          <w:rFonts w:ascii="Times New Roman" w:hAnsi="Times New Roman" w:cs="Times New Roman"/>
          <w:lang w:val="en-CA"/>
        </w:rPr>
        <w:t>g</w:t>
      </w:r>
      <w:r w:rsidR="00772B6B" w:rsidRPr="00CC5771">
        <w:rPr>
          <w:rFonts w:ascii="Times New Roman" w:hAnsi="Times New Roman" w:cs="Times New Roman"/>
          <w:lang w:val="en-CA"/>
        </w:rPr>
        <w:t xml:space="preserve"> gender. Others perceive a person</w:t>
      </w:r>
      <w:r w:rsidR="00912EC7">
        <w:rPr>
          <w:rFonts w:ascii="Times New Roman" w:hAnsi="Times New Roman" w:cs="Times New Roman"/>
          <w:lang w:val="en-CA"/>
        </w:rPr>
        <w:t>’</w:t>
      </w:r>
      <w:r w:rsidR="00772B6B" w:rsidRPr="00CC5771">
        <w:rPr>
          <w:rFonts w:ascii="Times New Roman" w:hAnsi="Times New Roman" w:cs="Times New Roman"/>
          <w:lang w:val="en-CA"/>
        </w:rPr>
        <w:t>s gender through these attributes.”</w:t>
      </w:r>
      <w:r w:rsidR="00772B6B" w:rsidRPr="00CC5771">
        <w:rPr>
          <w:rStyle w:val="FootnoteReference"/>
          <w:rFonts w:ascii="Times New Roman" w:hAnsi="Times New Roman" w:cs="Times New Roman"/>
          <w:lang w:val="en-CA"/>
        </w:rPr>
        <w:footnoteReference w:id="50"/>
      </w:r>
      <w:r w:rsidR="007D0102" w:rsidRPr="00CC5771">
        <w:rPr>
          <w:rFonts w:ascii="Times New Roman" w:hAnsi="Times New Roman" w:cs="Times New Roman"/>
          <w:lang w:val="en-CA"/>
        </w:rPr>
        <w:t xml:space="preserve"> In this </w:t>
      </w:r>
      <w:r w:rsidR="003D40CE" w:rsidRPr="00CC5771">
        <w:rPr>
          <w:rFonts w:ascii="Times New Roman" w:hAnsi="Times New Roman" w:cs="Times New Roman"/>
          <w:lang w:val="en-CA"/>
        </w:rPr>
        <w:t>definition</w:t>
      </w:r>
      <w:r w:rsidR="007D0102" w:rsidRPr="00CC5771">
        <w:rPr>
          <w:rFonts w:ascii="Times New Roman" w:hAnsi="Times New Roman" w:cs="Times New Roman"/>
          <w:lang w:val="en-CA"/>
        </w:rPr>
        <w:t xml:space="preserve">, the OHRC explains that “gender expression” discrimination </w:t>
      </w:r>
      <w:r w:rsidR="004C7B0B" w:rsidRPr="00CC5771">
        <w:rPr>
          <w:rFonts w:ascii="Times New Roman" w:hAnsi="Times New Roman" w:cs="Times New Roman"/>
          <w:lang w:val="en-CA"/>
        </w:rPr>
        <w:t>centers</w:t>
      </w:r>
      <w:r w:rsidR="007D0102" w:rsidRPr="00CC5771">
        <w:rPr>
          <w:rFonts w:ascii="Times New Roman" w:hAnsi="Times New Roman" w:cs="Times New Roman"/>
          <w:lang w:val="en-CA"/>
        </w:rPr>
        <w:t xml:space="preserve"> on how individuals present their gender </w:t>
      </w:r>
      <w:r w:rsidR="000A21DB" w:rsidRPr="00CC5771">
        <w:rPr>
          <w:rFonts w:ascii="Times New Roman" w:hAnsi="Times New Roman" w:cs="Times New Roman"/>
          <w:lang w:val="en-CA"/>
        </w:rPr>
        <w:t xml:space="preserve">identity </w:t>
      </w:r>
      <w:r w:rsidR="007D0102" w:rsidRPr="00CC5771">
        <w:rPr>
          <w:rFonts w:ascii="Times New Roman" w:hAnsi="Times New Roman" w:cs="Times New Roman"/>
          <w:lang w:val="en-CA"/>
        </w:rPr>
        <w:t>to the outside world.</w:t>
      </w:r>
      <w:r w:rsidR="009F4C60" w:rsidRPr="00CC5771">
        <w:rPr>
          <w:rFonts w:ascii="Times New Roman" w:hAnsi="Times New Roman" w:cs="Times New Roman"/>
          <w:lang w:val="en-CA"/>
        </w:rPr>
        <w:t xml:space="preserve"> Neither </w:t>
      </w:r>
      <w:r w:rsidR="000A21DB" w:rsidRPr="00CC5771">
        <w:rPr>
          <w:rFonts w:ascii="Times New Roman" w:hAnsi="Times New Roman" w:cs="Times New Roman"/>
          <w:lang w:val="en-CA"/>
        </w:rPr>
        <w:t>definition</w:t>
      </w:r>
      <w:r w:rsidR="009F4C60" w:rsidRPr="00CC5771">
        <w:rPr>
          <w:rFonts w:ascii="Times New Roman" w:hAnsi="Times New Roman" w:cs="Times New Roman"/>
          <w:lang w:val="en-CA"/>
        </w:rPr>
        <w:t xml:space="preserve"> suggests that trans</w:t>
      </w:r>
      <w:r w:rsidR="000A21DB" w:rsidRPr="00CC5771">
        <w:rPr>
          <w:rFonts w:ascii="Times New Roman" w:hAnsi="Times New Roman" w:cs="Times New Roman"/>
          <w:lang w:val="en-CA"/>
        </w:rPr>
        <w:t>gender</w:t>
      </w:r>
      <w:r w:rsidR="009F4C60" w:rsidRPr="00CC5771">
        <w:rPr>
          <w:rFonts w:ascii="Times New Roman" w:hAnsi="Times New Roman" w:cs="Times New Roman"/>
          <w:lang w:val="en-CA"/>
        </w:rPr>
        <w:t xml:space="preserve"> and/or non-binary people are the only </w:t>
      </w:r>
      <w:r w:rsidR="003B7A7B" w:rsidRPr="00CC5771">
        <w:rPr>
          <w:rFonts w:ascii="Times New Roman" w:hAnsi="Times New Roman" w:cs="Times New Roman"/>
          <w:lang w:val="en-CA"/>
        </w:rPr>
        <w:t>ones</w:t>
      </w:r>
      <w:r w:rsidR="009F4C60" w:rsidRPr="00CC5771">
        <w:rPr>
          <w:rFonts w:ascii="Times New Roman" w:hAnsi="Times New Roman" w:cs="Times New Roman"/>
          <w:lang w:val="en-CA"/>
        </w:rPr>
        <w:t xml:space="preserve"> captured by </w:t>
      </w:r>
      <w:r w:rsidR="00C320DF" w:rsidRPr="00CC5771">
        <w:rPr>
          <w:rFonts w:ascii="Times New Roman" w:hAnsi="Times New Roman" w:cs="Times New Roman"/>
          <w:lang w:val="en-CA"/>
        </w:rPr>
        <w:t xml:space="preserve">these </w:t>
      </w:r>
      <w:r w:rsidR="00C320DF" w:rsidRPr="00CC5771">
        <w:rPr>
          <w:rFonts w:ascii="Times New Roman" w:hAnsi="Times New Roman" w:cs="Times New Roman"/>
          <w:lang w:val="en-CA"/>
        </w:rPr>
        <w:lastRenderedPageBreak/>
        <w:t xml:space="preserve">protections. </w:t>
      </w:r>
      <w:r w:rsidR="009F3E35" w:rsidRPr="00CC5771">
        <w:rPr>
          <w:rFonts w:ascii="Times New Roman" w:hAnsi="Times New Roman" w:cs="Times New Roman"/>
          <w:lang w:val="en-CA"/>
        </w:rPr>
        <w:t xml:space="preserve">While OHRC policy </w:t>
      </w:r>
      <w:r w:rsidR="000A21DB" w:rsidRPr="00CC5771">
        <w:rPr>
          <w:rFonts w:ascii="Times New Roman" w:hAnsi="Times New Roman" w:cs="Times New Roman"/>
          <w:lang w:val="en-CA"/>
        </w:rPr>
        <w:t xml:space="preserve">documents </w:t>
      </w:r>
      <w:r w:rsidR="009F3E35" w:rsidRPr="00CC5771">
        <w:rPr>
          <w:rFonts w:ascii="Times New Roman" w:hAnsi="Times New Roman" w:cs="Times New Roman"/>
          <w:lang w:val="en-CA"/>
        </w:rPr>
        <w:t xml:space="preserve">are </w:t>
      </w:r>
      <w:r w:rsidR="00C320DF" w:rsidRPr="00CC5771">
        <w:rPr>
          <w:rFonts w:ascii="Times New Roman" w:hAnsi="Times New Roman" w:cs="Times New Roman"/>
          <w:lang w:val="en-CA"/>
        </w:rPr>
        <w:t xml:space="preserve">construed </w:t>
      </w:r>
      <w:r w:rsidR="009F3E35" w:rsidRPr="00CC5771">
        <w:rPr>
          <w:rFonts w:ascii="Times New Roman" w:hAnsi="Times New Roman" w:cs="Times New Roman"/>
          <w:lang w:val="en-CA"/>
        </w:rPr>
        <w:t>as educational and</w:t>
      </w:r>
      <w:r w:rsidR="00C320DF" w:rsidRPr="00CC5771">
        <w:rPr>
          <w:rFonts w:ascii="Times New Roman" w:hAnsi="Times New Roman" w:cs="Times New Roman"/>
          <w:lang w:val="en-CA"/>
        </w:rPr>
        <w:t xml:space="preserve"> </w:t>
      </w:r>
      <w:r w:rsidR="00494DD0" w:rsidRPr="00CC5771">
        <w:rPr>
          <w:rFonts w:ascii="Times New Roman" w:hAnsi="Times New Roman" w:cs="Times New Roman"/>
          <w:lang w:val="en-CA"/>
        </w:rPr>
        <w:t xml:space="preserve">therefore not legally </w:t>
      </w:r>
      <w:r w:rsidR="009F3E35" w:rsidRPr="00CC5771">
        <w:rPr>
          <w:rFonts w:ascii="Times New Roman" w:hAnsi="Times New Roman" w:cs="Times New Roman"/>
          <w:lang w:val="en-CA"/>
        </w:rPr>
        <w:t xml:space="preserve">binding, human rights tribunals </w:t>
      </w:r>
      <w:r w:rsidR="00A60357" w:rsidRPr="00CC5771">
        <w:rPr>
          <w:rFonts w:ascii="Times New Roman" w:hAnsi="Times New Roman" w:cs="Times New Roman"/>
          <w:lang w:val="en-CA"/>
        </w:rPr>
        <w:t>routinely</w:t>
      </w:r>
      <w:r w:rsidR="009F3E35" w:rsidRPr="00CC5771">
        <w:rPr>
          <w:rFonts w:ascii="Times New Roman" w:hAnsi="Times New Roman" w:cs="Times New Roman"/>
          <w:lang w:val="en-CA"/>
        </w:rPr>
        <w:t xml:space="preserve"> </w:t>
      </w:r>
      <w:r w:rsidR="00B57CEE" w:rsidRPr="00CC5771">
        <w:rPr>
          <w:rFonts w:ascii="Times New Roman" w:hAnsi="Times New Roman" w:cs="Times New Roman"/>
          <w:lang w:val="en-CA"/>
        </w:rPr>
        <w:t>consider</w:t>
      </w:r>
      <w:r w:rsidR="009F3E35" w:rsidRPr="00CC5771">
        <w:rPr>
          <w:rFonts w:ascii="Times New Roman" w:hAnsi="Times New Roman" w:cs="Times New Roman"/>
          <w:lang w:val="en-CA"/>
        </w:rPr>
        <w:t xml:space="preserve"> </w:t>
      </w:r>
      <w:r w:rsidR="00C320DF" w:rsidRPr="00CC5771">
        <w:rPr>
          <w:rFonts w:ascii="Times New Roman" w:hAnsi="Times New Roman" w:cs="Times New Roman"/>
          <w:lang w:val="en-CA"/>
        </w:rPr>
        <w:t>them</w:t>
      </w:r>
      <w:r w:rsidR="009F3E35" w:rsidRPr="00CC5771">
        <w:rPr>
          <w:rFonts w:ascii="Times New Roman" w:hAnsi="Times New Roman" w:cs="Times New Roman"/>
          <w:lang w:val="en-CA"/>
        </w:rPr>
        <w:t xml:space="preserve"> when adjudicating disputes.</w:t>
      </w:r>
      <w:r w:rsidR="009F3E35" w:rsidRPr="00CC5771">
        <w:rPr>
          <w:rStyle w:val="FootnoteReference"/>
          <w:rFonts w:ascii="Times New Roman" w:hAnsi="Times New Roman" w:cs="Times New Roman"/>
          <w:lang w:val="en-CA"/>
        </w:rPr>
        <w:footnoteReference w:id="51"/>
      </w:r>
    </w:p>
    <w:p w14:paraId="5A2C3C60" w14:textId="50039682" w:rsidR="004D070A" w:rsidRPr="00461619" w:rsidRDefault="008A7D60" w:rsidP="004D0F4E">
      <w:pPr>
        <w:spacing w:after="240" w:line="480" w:lineRule="auto"/>
        <w:rPr>
          <w:rFonts w:ascii="Times New Roman" w:hAnsi="Times New Roman" w:cs="Times New Roman"/>
          <w:b/>
          <w:lang w:val="en-CA"/>
        </w:rPr>
      </w:pPr>
      <w:r w:rsidRPr="008B0CFB">
        <w:rPr>
          <w:rFonts w:ascii="Times New Roman" w:hAnsi="Times New Roman" w:cs="Times New Roman"/>
          <w:b/>
          <w:lang w:val="en-CA"/>
        </w:rPr>
        <w:t xml:space="preserve">2. </w:t>
      </w:r>
      <w:r w:rsidR="004D070A" w:rsidRPr="008B0CFB">
        <w:rPr>
          <w:rFonts w:ascii="Times New Roman" w:hAnsi="Times New Roman" w:cs="Times New Roman"/>
          <w:b/>
          <w:lang w:val="en-CA"/>
        </w:rPr>
        <w:t xml:space="preserve">Human </w:t>
      </w:r>
      <w:r w:rsidRPr="008A7D60">
        <w:rPr>
          <w:rFonts w:ascii="Times New Roman" w:hAnsi="Times New Roman" w:cs="Times New Roman"/>
          <w:b/>
          <w:lang w:val="en-CA"/>
        </w:rPr>
        <w:t>Rights Tribunal Decisions</w:t>
      </w:r>
    </w:p>
    <w:p w14:paraId="56C0B47E" w14:textId="1AC60C93" w:rsidR="00D42793" w:rsidRPr="00CC5771" w:rsidRDefault="009C0430"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 xml:space="preserve">Since 2012 and the </w:t>
      </w:r>
      <w:r w:rsidR="00134FC8" w:rsidRPr="00CC5771">
        <w:rPr>
          <w:rFonts w:ascii="Times New Roman" w:hAnsi="Times New Roman" w:cs="Times New Roman"/>
          <w:lang w:val="en-CA"/>
        </w:rPr>
        <w:t xml:space="preserve">inclusion of </w:t>
      </w:r>
      <w:r w:rsidR="009F3E35" w:rsidRPr="00CC5771">
        <w:rPr>
          <w:rFonts w:ascii="Times New Roman" w:hAnsi="Times New Roman" w:cs="Times New Roman"/>
          <w:lang w:val="en-CA"/>
        </w:rPr>
        <w:t>“gender identity” and “gender expression”</w:t>
      </w:r>
      <w:r w:rsidR="00134FC8" w:rsidRPr="00CC5771">
        <w:rPr>
          <w:rFonts w:ascii="Times New Roman" w:hAnsi="Times New Roman" w:cs="Times New Roman"/>
          <w:lang w:val="en-CA"/>
        </w:rPr>
        <w:t xml:space="preserve"> as protected grounds</w:t>
      </w:r>
      <w:r w:rsidRPr="00CC5771">
        <w:rPr>
          <w:rFonts w:ascii="Times New Roman" w:hAnsi="Times New Roman" w:cs="Times New Roman"/>
          <w:lang w:val="en-CA"/>
        </w:rPr>
        <w:t xml:space="preserve"> in the Ontario</w:t>
      </w:r>
      <w:r w:rsidRPr="00CC5771">
        <w:rPr>
          <w:rFonts w:ascii="Times New Roman" w:hAnsi="Times New Roman" w:cs="Times New Roman"/>
          <w:i/>
          <w:lang w:val="en-CA"/>
        </w:rPr>
        <w:t xml:space="preserve"> Human Rights Code</w:t>
      </w:r>
      <w:r w:rsidR="0080007A" w:rsidRPr="00CC5771">
        <w:rPr>
          <w:rFonts w:ascii="Times New Roman" w:hAnsi="Times New Roman" w:cs="Times New Roman"/>
          <w:lang w:val="en-CA"/>
        </w:rPr>
        <w:t>, a</w:t>
      </w:r>
      <w:r w:rsidRPr="00CC5771">
        <w:rPr>
          <w:rFonts w:ascii="Times New Roman" w:hAnsi="Times New Roman" w:cs="Times New Roman"/>
          <w:lang w:val="en-CA"/>
        </w:rPr>
        <w:t xml:space="preserve"> growing body of </w:t>
      </w:r>
      <w:r w:rsidR="00115EE7" w:rsidRPr="00CC5771">
        <w:rPr>
          <w:rFonts w:ascii="Times New Roman" w:hAnsi="Times New Roman" w:cs="Times New Roman"/>
          <w:lang w:val="en-CA"/>
        </w:rPr>
        <w:t>tribunal decisions</w:t>
      </w:r>
      <w:r w:rsidRPr="00CC5771">
        <w:rPr>
          <w:rFonts w:ascii="Times New Roman" w:hAnsi="Times New Roman" w:cs="Times New Roman"/>
          <w:lang w:val="en-CA"/>
        </w:rPr>
        <w:t xml:space="preserve"> </w:t>
      </w:r>
      <w:r w:rsidR="0080007A" w:rsidRPr="00CC5771">
        <w:rPr>
          <w:rFonts w:ascii="Times New Roman" w:hAnsi="Times New Roman" w:cs="Times New Roman"/>
          <w:lang w:val="en-CA"/>
        </w:rPr>
        <w:t>have attempted</w:t>
      </w:r>
      <w:r w:rsidRPr="00CC5771">
        <w:rPr>
          <w:rFonts w:ascii="Times New Roman" w:hAnsi="Times New Roman" w:cs="Times New Roman"/>
          <w:lang w:val="en-CA"/>
        </w:rPr>
        <w:t xml:space="preserve"> to delineate the parameters of these undefined and amorphous legal constructs.</w:t>
      </w:r>
      <w:r w:rsidR="009F4C60" w:rsidRPr="00CC5771">
        <w:rPr>
          <w:rFonts w:ascii="Times New Roman" w:hAnsi="Times New Roman" w:cs="Times New Roman"/>
          <w:lang w:val="en-CA"/>
        </w:rPr>
        <w:t xml:space="preserve"> </w:t>
      </w:r>
      <w:r w:rsidR="00D42793" w:rsidRPr="00CC5771">
        <w:rPr>
          <w:rFonts w:ascii="Times New Roman" w:hAnsi="Times New Roman" w:cs="Times New Roman"/>
          <w:lang w:val="en-CA"/>
        </w:rPr>
        <w:t>While human rights tribunal decisions are not considered binding authority beyond the bounds of a particular case, they are typically treated as having persuasive value.</w:t>
      </w:r>
      <w:r w:rsidR="00D42793" w:rsidRPr="00CC5771">
        <w:rPr>
          <w:rStyle w:val="FootnoteReference"/>
          <w:rFonts w:ascii="Times New Roman" w:hAnsi="Times New Roman" w:cs="Times New Roman"/>
          <w:lang w:val="en-CA"/>
        </w:rPr>
        <w:footnoteReference w:id="52"/>
      </w:r>
      <w:r w:rsidR="00D42793" w:rsidRPr="00CC5771">
        <w:rPr>
          <w:rFonts w:ascii="Times New Roman" w:hAnsi="Times New Roman" w:cs="Times New Roman"/>
          <w:lang w:val="en-CA"/>
        </w:rPr>
        <w:t xml:space="preserve"> </w:t>
      </w:r>
      <w:r w:rsidR="009F4C60" w:rsidRPr="00CC5771">
        <w:rPr>
          <w:rFonts w:ascii="Times New Roman" w:hAnsi="Times New Roman" w:cs="Times New Roman"/>
          <w:lang w:val="en-CA"/>
        </w:rPr>
        <w:t>One of the ongoing interpretive dilemmas</w:t>
      </w:r>
      <w:r w:rsidR="002B6532" w:rsidRPr="00CC5771">
        <w:rPr>
          <w:rFonts w:ascii="Times New Roman" w:hAnsi="Times New Roman" w:cs="Times New Roman"/>
          <w:lang w:val="en-CA"/>
        </w:rPr>
        <w:t xml:space="preserve"> for tribunals</w:t>
      </w:r>
      <w:r w:rsidR="009F4C60" w:rsidRPr="00CC5771">
        <w:rPr>
          <w:rFonts w:ascii="Times New Roman" w:hAnsi="Times New Roman" w:cs="Times New Roman"/>
          <w:lang w:val="en-CA"/>
        </w:rPr>
        <w:t xml:space="preserve"> </w:t>
      </w:r>
      <w:r w:rsidR="000758BA" w:rsidRPr="00CC5771">
        <w:rPr>
          <w:rFonts w:ascii="Times New Roman" w:hAnsi="Times New Roman" w:cs="Times New Roman"/>
          <w:lang w:val="en-CA"/>
        </w:rPr>
        <w:t xml:space="preserve">has been </w:t>
      </w:r>
      <w:r w:rsidR="0080007A" w:rsidRPr="00CC5771">
        <w:rPr>
          <w:rFonts w:ascii="Times New Roman" w:hAnsi="Times New Roman" w:cs="Times New Roman"/>
          <w:lang w:val="en-CA"/>
        </w:rPr>
        <w:t>to whom</w:t>
      </w:r>
      <w:r w:rsidR="009F4C60" w:rsidRPr="00CC5771">
        <w:rPr>
          <w:rFonts w:ascii="Times New Roman" w:hAnsi="Times New Roman" w:cs="Times New Roman"/>
          <w:lang w:val="en-CA"/>
        </w:rPr>
        <w:t xml:space="preserve"> these terms are designed to </w:t>
      </w:r>
      <w:r w:rsidR="0080007A" w:rsidRPr="00CC5771">
        <w:rPr>
          <w:rFonts w:ascii="Times New Roman" w:hAnsi="Times New Roman" w:cs="Times New Roman"/>
          <w:lang w:val="en-CA"/>
        </w:rPr>
        <w:t>apply</w:t>
      </w:r>
      <w:r w:rsidR="009F4C60" w:rsidRPr="00CC5771">
        <w:rPr>
          <w:rFonts w:ascii="Times New Roman" w:hAnsi="Times New Roman" w:cs="Times New Roman"/>
          <w:lang w:val="en-CA"/>
        </w:rPr>
        <w:t>.</w:t>
      </w:r>
      <w:r w:rsidR="00664BC1" w:rsidRPr="00CC5771">
        <w:rPr>
          <w:rFonts w:ascii="Times New Roman" w:hAnsi="Times New Roman" w:cs="Times New Roman"/>
          <w:lang w:val="en-CA"/>
        </w:rPr>
        <w:t xml:space="preserve"> Mirroring the larger history of human rights interpretation,</w:t>
      </w:r>
      <w:r w:rsidR="006020CA" w:rsidRPr="00CC5771">
        <w:rPr>
          <w:rFonts w:ascii="Times New Roman" w:hAnsi="Times New Roman" w:cs="Times New Roman"/>
          <w:lang w:val="en-CA"/>
        </w:rPr>
        <w:t xml:space="preserve"> where</w:t>
      </w:r>
      <w:r w:rsidR="0085726C" w:rsidRPr="00CC5771">
        <w:rPr>
          <w:rFonts w:ascii="Times New Roman" w:hAnsi="Times New Roman" w:cs="Times New Roman"/>
          <w:lang w:val="en-CA"/>
        </w:rPr>
        <w:t xml:space="preserve"> </w:t>
      </w:r>
      <w:r w:rsidR="00394E8F" w:rsidRPr="00CC5771">
        <w:rPr>
          <w:rFonts w:ascii="Times New Roman" w:hAnsi="Times New Roman" w:cs="Times New Roman"/>
          <w:lang w:val="en-CA"/>
        </w:rPr>
        <w:t xml:space="preserve">cisgender </w:t>
      </w:r>
      <w:r w:rsidR="000A2F0B" w:rsidRPr="00CC5771">
        <w:rPr>
          <w:rFonts w:ascii="Times New Roman" w:hAnsi="Times New Roman" w:cs="Times New Roman"/>
          <w:lang w:val="en-CA"/>
        </w:rPr>
        <w:t>men</w:t>
      </w:r>
      <w:r w:rsidR="006020CA" w:rsidRPr="00CC5771">
        <w:rPr>
          <w:rFonts w:ascii="Times New Roman" w:hAnsi="Times New Roman" w:cs="Times New Roman"/>
          <w:lang w:val="en-CA"/>
        </w:rPr>
        <w:t xml:space="preserve"> </w:t>
      </w:r>
      <w:r w:rsidR="001607ED" w:rsidRPr="00CC5771">
        <w:rPr>
          <w:rFonts w:ascii="Times New Roman" w:hAnsi="Times New Roman" w:cs="Times New Roman"/>
          <w:lang w:val="en-CA"/>
        </w:rPr>
        <w:t>argued</w:t>
      </w:r>
      <w:r w:rsidR="006020CA" w:rsidRPr="00CC5771">
        <w:rPr>
          <w:rFonts w:ascii="Times New Roman" w:hAnsi="Times New Roman" w:cs="Times New Roman"/>
          <w:lang w:val="en-CA"/>
        </w:rPr>
        <w:t xml:space="preserve"> that they experienced discrimination</w:t>
      </w:r>
      <w:r w:rsidR="0085726C" w:rsidRPr="00CC5771">
        <w:rPr>
          <w:rFonts w:ascii="Times New Roman" w:hAnsi="Times New Roman" w:cs="Times New Roman"/>
          <w:lang w:val="en-CA"/>
        </w:rPr>
        <w:t xml:space="preserve"> </w:t>
      </w:r>
      <w:r w:rsidR="001607ED" w:rsidRPr="00CC5771">
        <w:rPr>
          <w:rFonts w:ascii="Times New Roman" w:hAnsi="Times New Roman" w:cs="Times New Roman"/>
          <w:lang w:val="en-CA"/>
        </w:rPr>
        <w:t>on the basis of “sex</w:t>
      </w:r>
      <w:r w:rsidR="009C3F79">
        <w:rPr>
          <w:rFonts w:ascii="Times New Roman" w:hAnsi="Times New Roman" w:cs="Times New Roman"/>
          <w:lang w:val="en-CA"/>
        </w:rPr>
        <w:t>,”</w:t>
      </w:r>
      <w:r w:rsidR="00CB7080" w:rsidRPr="00CC5771">
        <w:rPr>
          <w:rStyle w:val="FootnoteReference"/>
          <w:rFonts w:ascii="Times New Roman" w:hAnsi="Times New Roman" w:cs="Times New Roman"/>
          <w:lang w:val="en-CA"/>
        </w:rPr>
        <w:footnoteReference w:id="53"/>
      </w:r>
      <w:r w:rsidR="00664BC1" w:rsidRPr="00CC5771">
        <w:rPr>
          <w:rFonts w:ascii="Times New Roman" w:hAnsi="Times New Roman" w:cs="Times New Roman"/>
          <w:lang w:val="en-CA"/>
        </w:rPr>
        <w:t xml:space="preserve"> cisgender men have recently </w:t>
      </w:r>
      <w:r w:rsidR="000C4E90" w:rsidRPr="00CC5771">
        <w:rPr>
          <w:rFonts w:ascii="Times New Roman" w:hAnsi="Times New Roman" w:cs="Times New Roman"/>
          <w:lang w:val="en-CA"/>
        </w:rPr>
        <w:t>started to claim</w:t>
      </w:r>
      <w:r w:rsidR="00664BC1" w:rsidRPr="00CC5771">
        <w:rPr>
          <w:rFonts w:ascii="Times New Roman" w:hAnsi="Times New Roman" w:cs="Times New Roman"/>
          <w:lang w:val="en-CA"/>
        </w:rPr>
        <w:t xml:space="preserve"> </w:t>
      </w:r>
      <w:r w:rsidR="006020CA" w:rsidRPr="00CC5771">
        <w:rPr>
          <w:rFonts w:ascii="Times New Roman" w:hAnsi="Times New Roman" w:cs="Times New Roman"/>
          <w:lang w:val="en-CA"/>
        </w:rPr>
        <w:t xml:space="preserve">that gendered practices that accord </w:t>
      </w:r>
      <w:r w:rsidR="00BE21E8" w:rsidRPr="00CC5771">
        <w:rPr>
          <w:rFonts w:ascii="Times New Roman" w:hAnsi="Times New Roman" w:cs="Times New Roman"/>
          <w:lang w:val="en-CA"/>
        </w:rPr>
        <w:t xml:space="preserve">with </w:t>
      </w:r>
      <w:r w:rsidR="000C4E90" w:rsidRPr="00CC5771">
        <w:rPr>
          <w:rFonts w:ascii="Times New Roman" w:hAnsi="Times New Roman" w:cs="Times New Roman"/>
          <w:lang w:val="en-CA"/>
        </w:rPr>
        <w:t>norms of</w:t>
      </w:r>
      <w:r w:rsidR="006020CA" w:rsidRPr="00CC5771">
        <w:rPr>
          <w:rFonts w:ascii="Times New Roman" w:hAnsi="Times New Roman" w:cs="Times New Roman"/>
          <w:lang w:val="en-CA"/>
        </w:rPr>
        <w:t xml:space="preserve"> </w:t>
      </w:r>
      <w:r w:rsidR="00664BC1" w:rsidRPr="00CC5771">
        <w:rPr>
          <w:rFonts w:ascii="Times New Roman" w:hAnsi="Times New Roman" w:cs="Times New Roman"/>
          <w:lang w:val="en-CA"/>
        </w:rPr>
        <w:t>hegemonic masculinity</w:t>
      </w:r>
      <w:r w:rsidR="006020CA" w:rsidRPr="00CC5771">
        <w:rPr>
          <w:rStyle w:val="FootnoteReference"/>
          <w:rFonts w:ascii="Times New Roman" w:hAnsi="Times New Roman" w:cs="Times New Roman"/>
          <w:lang w:val="en-CA"/>
        </w:rPr>
        <w:footnoteReference w:id="54"/>
      </w:r>
      <w:r w:rsidR="006020CA" w:rsidRPr="00CC5771">
        <w:rPr>
          <w:rFonts w:ascii="Times New Roman" w:hAnsi="Times New Roman" w:cs="Times New Roman"/>
          <w:lang w:val="en-CA"/>
        </w:rPr>
        <w:t xml:space="preserve"> ought to be protected </w:t>
      </w:r>
      <w:r w:rsidR="00D42793" w:rsidRPr="00CC5771">
        <w:rPr>
          <w:rFonts w:ascii="Times New Roman" w:hAnsi="Times New Roman" w:cs="Times New Roman"/>
          <w:lang w:val="en-CA"/>
        </w:rPr>
        <w:t>by “</w:t>
      </w:r>
      <w:r w:rsidR="000A2F0B" w:rsidRPr="00CC5771">
        <w:rPr>
          <w:rFonts w:ascii="Times New Roman" w:hAnsi="Times New Roman" w:cs="Times New Roman"/>
          <w:lang w:val="en-CA"/>
        </w:rPr>
        <w:t>gender expression</w:t>
      </w:r>
      <w:r w:rsidR="00D42793" w:rsidRPr="00CC5771">
        <w:rPr>
          <w:rFonts w:ascii="Times New Roman" w:hAnsi="Times New Roman" w:cs="Times New Roman"/>
          <w:lang w:val="en-CA"/>
        </w:rPr>
        <w:t>”</w:t>
      </w:r>
      <w:r w:rsidR="000A2F0B" w:rsidRPr="00CC5771">
        <w:rPr>
          <w:rFonts w:ascii="Times New Roman" w:hAnsi="Times New Roman" w:cs="Times New Roman"/>
          <w:lang w:val="en-CA"/>
        </w:rPr>
        <w:t xml:space="preserve"> </w:t>
      </w:r>
      <w:r w:rsidR="00D42793" w:rsidRPr="00CC5771">
        <w:rPr>
          <w:rFonts w:ascii="Times New Roman" w:hAnsi="Times New Roman" w:cs="Times New Roman"/>
          <w:lang w:val="en-CA"/>
        </w:rPr>
        <w:t>in</w:t>
      </w:r>
      <w:r w:rsidR="006020CA" w:rsidRPr="00CC5771">
        <w:rPr>
          <w:rFonts w:ascii="Times New Roman" w:hAnsi="Times New Roman" w:cs="Times New Roman"/>
          <w:lang w:val="en-CA"/>
        </w:rPr>
        <w:t xml:space="preserve"> the Ontario </w:t>
      </w:r>
      <w:r w:rsidR="006020CA" w:rsidRPr="00CC5771">
        <w:rPr>
          <w:rFonts w:ascii="Times New Roman" w:hAnsi="Times New Roman" w:cs="Times New Roman"/>
          <w:i/>
          <w:lang w:val="en-CA"/>
        </w:rPr>
        <w:t>Human Rights Code</w:t>
      </w:r>
      <w:r w:rsidR="00664BC1" w:rsidRPr="00CC5771">
        <w:rPr>
          <w:rFonts w:ascii="Times New Roman" w:hAnsi="Times New Roman" w:cs="Times New Roman"/>
          <w:lang w:val="en-CA"/>
        </w:rPr>
        <w:t>.</w:t>
      </w:r>
      <w:r w:rsidRPr="00CC5771">
        <w:rPr>
          <w:rFonts w:ascii="Times New Roman" w:hAnsi="Times New Roman" w:cs="Times New Roman"/>
          <w:lang w:val="en-CA"/>
        </w:rPr>
        <w:t xml:space="preserve"> </w:t>
      </w:r>
    </w:p>
    <w:p w14:paraId="3592C39C" w14:textId="0B183E00" w:rsidR="004A07A0" w:rsidRPr="00CC5771" w:rsidRDefault="009C0430"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 xml:space="preserve">In 2016, </w:t>
      </w:r>
      <w:r w:rsidR="00D42793" w:rsidRPr="00CC5771">
        <w:rPr>
          <w:rFonts w:ascii="Times New Roman" w:hAnsi="Times New Roman" w:cs="Times New Roman"/>
          <w:lang w:val="en-CA"/>
        </w:rPr>
        <w:t xml:space="preserve">for example, </w:t>
      </w:r>
      <w:r w:rsidRPr="00CC5771">
        <w:rPr>
          <w:rFonts w:ascii="Times New Roman" w:hAnsi="Times New Roman" w:cs="Times New Roman"/>
          <w:lang w:val="en-CA"/>
        </w:rPr>
        <w:t xml:space="preserve">the Ontario Human Rights Tribunal (OHRT) </w:t>
      </w:r>
      <w:r w:rsidR="004C7B0B" w:rsidRPr="00CC5771">
        <w:rPr>
          <w:rFonts w:ascii="Times New Roman" w:hAnsi="Times New Roman" w:cs="Times New Roman"/>
          <w:lang w:val="en-CA"/>
        </w:rPr>
        <w:t>released its decision in the</w:t>
      </w:r>
      <w:r w:rsidRPr="00CC5771">
        <w:rPr>
          <w:rFonts w:ascii="Times New Roman" w:hAnsi="Times New Roman" w:cs="Times New Roman"/>
          <w:lang w:val="en-CA"/>
        </w:rPr>
        <w:t xml:space="preserve"> case of </w:t>
      </w:r>
      <w:r w:rsidRPr="00CC5771">
        <w:rPr>
          <w:rFonts w:ascii="Times New Roman" w:hAnsi="Times New Roman" w:cs="Times New Roman"/>
          <w:i/>
          <w:lang w:val="en-CA"/>
        </w:rPr>
        <w:t>Browne v Sudbury Integrated Nickel Operations</w:t>
      </w:r>
      <w:r w:rsidRPr="00CC5771">
        <w:rPr>
          <w:rFonts w:ascii="Times New Roman" w:hAnsi="Times New Roman" w:cs="Times New Roman"/>
          <w:lang w:val="en-CA"/>
        </w:rPr>
        <w:t>.</w:t>
      </w:r>
      <w:r w:rsidRPr="00CC5771">
        <w:rPr>
          <w:rStyle w:val="FootnoteReference"/>
          <w:rFonts w:ascii="Times New Roman" w:hAnsi="Times New Roman" w:cs="Times New Roman"/>
          <w:lang w:val="en-CA"/>
        </w:rPr>
        <w:footnoteReference w:id="55"/>
      </w:r>
      <w:r w:rsidR="001263F6" w:rsidRPr="00CC5771">
        <w:rPr>
          <w:rFonts w:ascii="Times New Roman" w:hAnsi="Times New Roman" w:cs="Times New Roman"/>
          <w:lang w:val="en-CA"/>
        </w:rPr>
        <w:t xml:space="preserve"> In this case, a cisgender man who </w:t>
      </w:r>
      <w:r w:rsidR="001263F6" w:rsidRPr="00CC5771">
        <w:rPr>
          <w:rFonts w:ascii="Times New Roman" w:hAnsi="Times New Roman" w:cs="Times New Roman"/>
          <w:lang w:val="en-CA"/>
        </w:rPr>
        <w:lastRenderedPageBreak/>
        <w:t>worked in a mine challenge</w:t>
      </w:r>
      <w:r w:rsidR="004F4DB4" w:rsidRPr="00CC5771">
        <w:rPr>
          <w:rFonts w:ascii="Times New Roman" w:hAnsi="Times New Roman" w:cs="Times New Roman"/>
          <w:lang w:val="en-CA"/>
        </w:rPr>
        <w:t>d</w:t>
      </w:r>
      <w:r w:rsidR="001263F6" w:rsidRPr="00CC5771">
        <w:rPr>
          <w:rFonts w:ascii="Times New Roman" w:hAnsi="Times New Roman" w:cs="Times New Roman"/>
          <w:lang w:val="en-CA"/>
        </w:rPr>
        <w:t xml:space="preserve"> his employer</w:t>
      </w:r>
      <w:r w:rsidR="00912EC7">
        <w:rPr>
          <w:rFonts w:ascii="Times New Roman" w:hAnsi="Times New Roman" w:cs="Times New Roman"/>
          <w:lang w:val="en-CA"/>
        </w:rPr>
        <w:t>’</w:t>
      </w:r>
      <w:r w:rsidR="001263F6" w:rsidRPr="00CC5771">
        <w:rPr>
          <w:rFonts w:ascii="Times New Roman" w:hAnsi="Times New Roman" w:cs="Times New Roman"/>
          <w:lang w:val="en-CA"/>
        </w:rPr>
        <w:t xml:space="preserve">s </w:t>
      </w:r>
      <w:r w:rsidR="00D42793" w:rsidRPr="00CC5771">
        <w:rPr>
          <w:rFonts w:ascii="Times New Roman" w:hAnsi="Times New Roman" w:cs="Times New Roman"/>
          <w:lang w:val="en-CA"/>
        </w:rPr>
        <w:t>clean-shaven</w:t>
      </w:r>
      <w:r w:rsidR="001263F6" w:rsidRPr="00CC5771">
        <w:rPr>
          <w:rFonts w:ascii="Times New Roman" w:hAnsi="Times New Roman" w:cs="Times New Roman"/>
          <w:lang w:val="en-CA"/>
        </w:rPr>
        <w:t xml:space="preserve"> policy. The employer argued that the policy was necessary to ensure the proper functioning of the respirator masks worn by employees. Browne argued that his beard was fundamental to his “gender expression</w:t>
      </w:r>
      <w:r w:rsidR="009C3F79">
        <w:rPr>
          <w:rFonts w:ascii="Times New Roman" w:hAnsi="Times New Roman" w:cs="Times New Roman"/>
          <w:lang w:val="en-CA"/>
        </w:rPr>
        <w:t>,”</w:t>
      </w:r>
      <w:r w:rsidR="001263F6" w:rsidRPr="00CC5771">
        <w:rPr>
          <w:rFonts w:ascii="Times New Roman" w:hAnsi="Times New Roman" w:cs="Times New Roman"/>
          <w:lang w:val="en-CA"/>
        </w:rPr>
        <w:t xml:space="preserve"> and was therefore protected by </w:t>
      </w:r>
      <w:r w:rsidR="000758BA" w:rsidRPr="00CC5771">
        <w:rPr>
          <w:rFonts w:ascii="Times New Roman" w:hAnsi="Times New Roman" w:cs="Times New Roman"/>
          <w:lang w:val="en-CA"/>
        </w:rPr>
        <w:t>recent</w:t>
      </w:r>
      <w:r w:rsidR="001263F6" w:rsidRPr="00CC5771">
        <w:rPr>
          <w:rFonts w:ascii="Times New Roman" w:hAnsi="Times New Roman" w:cs="Times New Roman"/>
          <w:lang w:val="en-CA"/>
        </w:rPr>
        <w:t xml:space="preserve"> amendments to the Ontario</w:t>
      </w:r>
      <w:r w:rsidR="001263F6" w:rsidRPr="00CC5771">
        <w:rPr>
          <w:rFonts w:ascii="Times New Roman" w:hAnsi="Times New Roman" w:cs="Times New Roman"/>
          <w:i/>
          <w:lang w:val="en-CA"/>
        </w:rPr>
        <w:t xml:space="preserve"> Human Rights Code</w:t>
      </w:r>
      <w:r w:rsidR="00F170BC" w:rsidRPr="00CC5771">
        <w:rPr>
          <w:rFonts w:ascii="Times New Roman" w:hAnsi="Times New Roman" w:cs="Times New Roman"/>
          <w:lang w:val="en-CA"/>
        </w:rPr>
        <w:t>. The T</w:t>
      </w:r>
      <w:r w:rsidR="001263F6" w:rsidRPr="00CC5771">
        <w:rPr>
          <w:rFonts w:ascii="Times New Roman" w:hAnsi="Times New Roman" w:cs="Times New Roman"/>
          <w:lang w:val="en-CA"/>
        </w:rPr>
        <w:t>ribunal summarized Browne</w:t>
      </w:r>
      <w:r w:rsidR="00912EC7">
        <w:rPr>
          <w:rFonts w:ascii="Times New Roman" w:hAnsi="Times New Roman" w:cs="Times New Roman"/>
          <w:lang w:val="en-CA"/>
        </w:rPr>
        <w:t>’</w:t>
      </w:r>
      <w:r w:rsidR="001263F6" w:rsidRPr="00CC5771">
        <w:rPr>
          <w:rFonts w:ascii="Times New Roman" w:hAnsi="Times New Roman" w:cs="Times New Roman"/>
          <w:lang w:val="en-CA"/>
        </w:rPr>
        <w:t xml:space="preserve">s evidence in the following terms: </w:t>
      </w:r>
      <w:r w:rsidR="008F3E47" w:rsidRPr="00CC5771">
        <w:rPr>
          <w:rFonts w:ascii="Times New Roman" w:hAnsi="Times New Roman" w:cs="Times New Roman"/>
          <w:lang w:val="en-CA"/>
        </w:rPr>
        <w:t>“He testified that in early October 2012, he decided to grow a mustache and a goatee as a means of expressing his support for the Movember movement, where men grow facial hair in the month of November each year to express their support for men suffering from prostate cancer. The applicant testified that he was moved to do this as a result of the impact of prostate cancer on members of his family.”</w:t>
      </w:r>
      <w:r w:rsidR="008F3E47" w:rsidRPr="00CC5771">
        <w:rPr>
          <w:rStyle w:val="FootnoteReference"/>
          <w:rFonts w:ascii="Times New Roman" w:hAnsi="Times New Roman" w:cs="Times New Roman"/>
          <w:lang w:val="en-CA"/>
        </w:rPr>
        <w:footnoteReference w:id="56"/>
      </w:r>
      <w:r w:rsidR="001263F6" w:rsidRPr="00CC5771">
        <w:rPr>
          <w:rFonts w:ascii="Times New Roman" w:hAnsi="Times New Roman" w:cs="Times New Roman"/>
          <w:lang w:val="en-CA"/>
        </w:rPr>
        <w:t xml:space="preserve"> </w:t>
      </w:r>
    </w:p>
    <w:p w14:paraId="6BD350C2" w14:textId="01425804" w:rsidR="00CB732D" w:rsidRPr="00CC5771" w:rsidRDefault="004A07A0"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 xml:space="preserve">In </w:t>
      </w:r>
      <w:r w:rsidR="000758BA" w:rsidRPr="00CC5771">
        <w:rPr>
          <w:rFonts w:ascii="Times New Roman" w:hAnsi="Times New Roman" w:cs="Times New Roman"/>
          <w:lang w:val="en-CA"/>
        </w:rPr>
        <w:t>concluding</w:t>
      </w:r>
      <w:r w:rsidRPr="00CC5771">
        <w:rPr>
          <w:rFonts w:ascii="Times New Roman" w:hAnsi="Times New Roman" w:cs="Times New Roman"/>
          <w:lang w:val="en-CA"/>
        </w:rPr>
        <w:t xml:space="preserve"> that Browne</w:t>
      </w:r>
      <w:r w:rsidR="00912EC7">
        <w:rPr>
          <w:rFonts w:ascii="Times New Roman" w:hAnsi="Times New Roman" w:cs="Times New Roman"/>
          <w:lang w:val="en-CA"/>
        </w:rPr>
        <w:t>’</w:t>
      </w:r>
      <w:r w:rsidRPr="00CC5771">
        <w:rPr>
          <w:rFonts w:ascii="Times New Roman" w:hAnsi="Times New Roman" w:cs="Times New Roman"/>
          <w:lang w:val="en-CA"/>
        </w:rPr>
        <w:t xml:space="preserve">s case did not amount to </w:t>
      </w:r>
      <w:r w:rsidR="009F4C60" w:rsidRPr="00CC5771">
        <w:rPr>
          <w:rFonts w:ascii="Times New Roman" w:hAnsi="Times New Roman" w:cs="Times New Roman"/>
          <w:i/>
          <w:lang w:val="en-CA"/>
        </w:rPr>
        <w:t>prima facie</w:t>
      </w:r>
      <w:r w:rsidR="009F4C60" w:rsidRPr="00CC5771">
        <w:rPr>
          <w:rFonts w:ascii="Times New Roman" w:hAnsi="Times New Roman" w:cs="Times New Roman"/>
          <w:lang w:val="en-CA"/>
        </w:rPr>
        <w:t xml:space="preserve"> </w:t>
      </w:r>
      <w:r w:rsidRPr="00CC5771">
        <w:rPr>
          <w:rFonts w:ascii="Times New Roman" w:hAnsi="Times New Roman" w:cs="Times New Roman"/>
          <w:lang w:val="en-CA"/>
        </w:rPr>
        <w:t xml:space="preserve">discrimination on the basis of “gender expression,” the Tribunal </w:t>
      </w:r>
      <w:r w:rsidR="00A37FF5" w:rsidRPr="00CC5771">
        <w:rPr>
          <w:rFonts w:ascii="Times New Roman" w:hAnsi="Times New Roman" w:cs="Times New Roman"/>
          <w:lang w:val="en-CA"/>
        </w:rPr>
        <w:t>gives the reader a glimpse into its interpretive source materials, noting that it has “considered the Ontario Human Rights Commission</w:t>
      </w:r>
      <w:r w:rsidR="00912EC7">
        <w:rPr>
          <w:rFonts w:ascii="Times New Roman" w:hAnsi="Times New Roman" w:cs="Times New Roman"/>
          <w:lang w:val="en-CA"/>
        </w:rPr>
        <w:t>’</w:t>
      </w:r>
      <w:r w:rsidR="00A37FF5" w:rsidRPr="00CC5771">
        <w:rPr>
          <w:rFonts w:ascii="Times New Roman" w:hAnsi="Times New Roman" w:cs="Times New Roman"/>
          <w:lang w:val="en-CA"/>
        </w:rPr>
        <w:t xml:space="preserve">s </w:t>
      </w:r>
      <w:r w:rsidR="00A37FF5" w:rsidRPr="00CC5771">
        <w:rPr>
          <w:rFonts w:ascii="Times New Roman" w:hAnsi="Times New Roman" w:cs="Times New Roman"/>
          <w:i/>
          <w:lang w:val="en-CA"/>
        </w:rPr>
        <w:t xml:space="preserve">Policy on Preventing Discrimination because of Gender Identity and Gender Expression </w:t>
      </w:r>
      <w:r w:rsidR="00A37FF5" w:rsidRPr="00CC5771">
        <w:rPr>
          <w:rFonts w:ascii="Times New Roman" w:hAnsi="Times New Roman" w:cs="Times New Roman"/>
          <w:lang w:val="en-CA"/>
        </w:rPr>
        <w:t>approved January 31, 2014 (the “Commission Policy”), as well as Hansard, case law and other materials filed by the parties for the purpose of the preliminary hearing</w:t>
      </w:r>
      <w:r w:rsidR="009C3F79">
        <w:rPr>
          <w:rFonts w:ascii="Times New Roman" w:hAnsi="Times New Roman" w:cs="Times New Roman"/>
          <w:lang w:val="en-CA"/>
        </w:rPr>
        <w:t>.”</w:t>
      </w:r>
      <w:r w:rsidR="00A37FF5" w:rsidRPr="00CC5771">
        <w:rPr>
          <w:rStyle w:val="FootnoteReference"/>
          <w:rFonts w:ascii="Times New Roman" w:hAnsi="Times New Roman" w:cs="Times New Roman"/>
          <w:lang w:val="en-CA"/>
        </w:rPr>
        <w:footnoteReference w:id="57"/>
      </w:r>
      <w:r w:rsidR="009F4C60" w:rsidRPr="00CC5771">
        <w:rPr>
          <w:rFonts w:ascii="Times New Roman" w:hAnsi="Times New Roman" w:cs="Times New Roman"/>
          <w:lang w:val="en-CA"/>
        </w:rPr>
        <w:t xml:space="preserve"> It is unclear what “other materials filed by the parties” </w:t>
      </w:r>
      <w:r w:rsidR="006F5FE8" w:rsidRPr="00CC5771">
        <w:rPr>
          <w:rFonts w:ascii="Times New Roman" w:hAnsi="Times New Roman" w:cs="Times New Roman"/>
          <w:lang w:val="en-CA"/>
        </w:rPr>
        <w:t>means in the context of this</w:t>
      </w:r>
      <w:r w:rsidR="009F4C60" w:rsidRPr="00CC5771">
        <w:rPr>
          <w:rFonts w:ascii="Times New Roman" w:hAnsi="Times New Roman" w:cs="Times New Roman"/>
          <w:lang w:val="en-CA"/>
        </w:rPr>
        <w:t xml:space="preserve"> case.</w:t>
      </w:r>
      <w:r w:rsidR="00D87ADE" w:rsidRPr="00CC5771">
        <w:rPr>
          <w:rFonts w:ascii="Times New Roman" w:hAnsi="Times New Roman" w:cs="Times New Roman"/>
          <w:lang w:val="en-CA"/>
        </w:rPr>
        <w:t xml:space="preserve"> </w:t>
      </w:r>
    </w:p>
    <w:p w14:paraId="0FBC2EC2" w14:textId="26231787" w:rsidR="00186243" w:rsidRPr="00CC5771" w:rsidRDefault="00D87ADE"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T</w:t>
      </w:r>
      <w:r w:rsidR="00A37FF5" w:rsidRPr="00CC5771">
        <w:rPr>
          <w:rFonts w:ascii="Times New Roman" w:hAnsi="Times New Roman" w:cs="Times New Roman"/>
          <w:lang w:val="en-CA"/>
        </w:rPr>
        <w:t xml:space="preserve">he Tribunal </w:t>
      </w:r>
      <w:r w:rsidR="004A07A0" w:rsidRPr="00CC5771">
        <w:rPr>
          <w:rFonts w:ascii="Times New Roman" w:hAnsi="Times New Roman" w:cs="Times New Roman"/>
          <w:lang w:val="en-CA"/>
        </w:rPr>
        <w:t xml:space="preserve">begins </w:t>
      </w:r>
      <w:r w:rsidR="009F4C60" w:rsidRPr="00CC5771">
        <w:rPr>
          <w:rFonts w:ascii="Times New Roman" w:hAnsi="Times New Roman" w:cs="Times New Roman"/>
          <w:lang w:val="en-CA"/>
        </w:rPr>
        <w:t>its analysis by</w:t>
      </w:r>
      <w:r w:rsidR="004A07A0" w:rsidRPr="00CC5771">
        <w:rPr>
          <w:rFonts w:ascii="Times New Roman" w:hAnsi="Times New Roman" w:cs="Times New Roman"/>
          <w:lang w:val="en-CA"/>
        </w:rPr>
        <w:t xml:space="preserve"> surveying a series of</w:t>
      </w:r>
      <w:r w:rsidR="00255D48" w:rsidRPr="00CC5771">
        <w:rPr>
          <w:rFonts w:ascii="Times New Roman" w:hAnsi="Times New Roman" w:cs="Times New Roman"/>
          <w:lang w:val="en-CA"/>
        </w:rPr>
        <w:t xml:space="preserve"> human rights </w:t>
      </w:r>
      <w:r w:rsidR="004A07A0" w:rsidRPr="00CC5771">
        <w:rPr>
          <w:rFonts w:ascii="Times New Roman" w:hAnsi="Times New Roman" w:cs="Times New Roman"/>
          <w:lang w:val="en-CA"/>
        </w:rPr>
        <w:t>decisions</w:t>
      </w:r>
      <w:r w:rsidR="00255D48" w:rsidRPr="00CC5771">
        <w:rPr>
          <w:rFonts w:ascii="Times New Roman" w:hAnsi="Times New Roman" w:cs="Times New Roman"/>
          <w:lang w:val="en-CA"/>
        </w:rPr>
        <w:t xml:space="preserve"> </w:t>
      </w:r>
      <w:r w:rsidR="00A37FF5" w:rsidRPr="00CC5771">
        <w:rPr>
          <w:rFonts w:ascii="Times New Roman" w:hAnsi="Times New Roman" w:cs="Times New Roman"/>
          <w:lang w:val="en-CA"/>
        </w:rPr>
        <w:t xml:space="preserve">standing for the </w:t>
      </w:r>
      <w:r w:rsidR="00F170BC" w:rsidRPr="00CC5771">
        <w:rPr>
          <w:rFonts w:ascii="Times New Roman" w:hAnsi="Times New Roman" w:cs="Times New Roman"/>
          <w:lang w:val="en-CA"/>
        </w:rPr>
        <w:t>proposition</w:t>
      </w:r>
      <w:r w:rsidR="009D73A3" w:rsidRPr="00CC5771">
        <w:rPr>
          <w:rFonts w:ascii="Times New Roman" w:hAnsi="Times New Roman" w:cs="Times New Roman"/>
          <w:lang w:val="en-CA"/>
        </w:rPr>
        <w:t xml:space="preserve"> that clean-</w:t>
      </w:r>
      <w:r w:rsidR="00255D48" w:rsidRPr="00CC5771">
        <w:rPr>
          <w:rFonts w:ascii="Times New Roman" w:hAnsi="Times New Roman" w:cs="Times New Roman"/>
          <w:lang w:val="en-CA"/>
        </w:rPr>
        <w:t xml:space="preserve">shaven policies </w:t>
      </w:r>
      <w:r w:rsidR="00A37FF5" w:rsidRPr="00CC5771">
        <w:rPr>
          <w:rFonts w:ascii="Times New Roman" w:hAnsi="Times New Roman" w:cs="Times New Roman"/>
          <w:lang w:val="en-CA"/>
        </w:rPr>
        <w:t>do</w:t>
      </w:r>
      <w:r w:rsidR="00255D48" w:rsidRPr="00CC5771">
        <w:rPr>
          <w:rFonts w:ascii="Times New Roman" w:hAnsi="Times New Roman" w:cs="Times New Roman"/>
          <w:lang w:val="en-CA"/>
        </w:rPr>
        <w:t xml:space="preserve"> not constitute a form </w:t>
      </w:r>
      <w:r w:rsidR="004A07A0" w:rsidRPr="00CC5771">
        <w:rPr>
          <w:rFonts w:ascii="Times New Roman" w:hAnsi="Times New Roman" w:cs="Times New Roman"/>
          <w:lang w:val="en-CA"/>
        </w:rPr>
        <w:t xml:space="preserve">of sex-based discrimination. </w:t>
      </w:r>
      <w:r w:rsidR="009F4C60" w:rsidRPr="00CC5771">
        <w:rPr>
          <w:rFonts w:ascii="Times New Roman" w:hAnsi="Times New Roman" w:cs="Times New Roman"/>
          <w:lang w:val="en-CA"/>
        </w:rPr>
        <w:t xml:space="preserve">The problem with this line of </w:t>
      </w:r>
      <w:r w:rsidR="006E1131" w:rsidRPr="00CC5771">
        <w:rPr>
          <w:rFonts w:ascii="Times New Roman" w:hAnsi="Times New Roman" w:cs="Times New Roman"/>
          <w:lang w:val="en-CA"/>
        </w:rPr>
        <w:t>authorities</w:t>
      </w:r>
      <w:r w:rsidR="00CB732D" w:rsidRPr="00CC5771">
        <w:rPr>
          <w:rFonts w:ascii="Times New Roman" w:hAnsi="Times New Roman" w:cs="Times New Roman"/>
          <w:lang w:val="en-CA"/>
        </w:rPr>
        <w:t xml:space="preserve"> </w:t>
      </w:r>
      <w:r w:rsidR="009F4C60" w:rsidRPr="00CC5771">
        <w:rPr>
          <w:rFonts w:ascii="Times New Roman" w:hAnsi="Times New Roman" w:cs="Times New Roman"/>
          <w:lang w:val="en-CA"/>
        </w:rPr>
        <w:t xml:space="preserve">is that Browne </w:t>
      </w:r>
      <w:r w:rsidRPr="00CC5771">
        <w:rPr>
          <w:rFonts w:ascii="Times New Roman" w:hAnsi="Times New Roman" w:cs="Times New Roman"/>
          <w:lang w:val="en-CA"/>
        </w:rPr>
        <w:t>did not argue</w:t>
      </w:r>
      <w:r w:rsidR="009F4C60" w:rsidRPr="00CC5771">
        <w:rPr>
          <w:rFonts w:ascii="Times New Roman" w:hAnsi="Times New Roman" w:cs="Times New Roman"/>
          <w:lang w:val="en-CA"/>
        </w:rPr>
        <w:t xml:space="preserve"> discrimination on the basis of “sex.” Rather, he argued discrimination on the </w:t>
      </w:r>
      <w:r w:rsidR="004A07A0" w:rsidRPr="00CC5771">
        <w:rPr>
          <w:rFonts w:ascii="Times New Roman" w:hAnsi="Times New Roman" w:cs="Times New Roman"/>
          <w:lang w:val="en-CA"/>
        </w:rPr>
        <w:t>new</w:t>
      </w:r>
      <w:r w:rsidR="004C7B0B" w:rsidRPr="00CC5771">
        <w:rPr>
          <w:rFonts w:ascii="Times New Roman" w:hAnsi="Times New Roman" w:cs="Times New Roman"/>
          <w:lang w:val="en-CA"/>
        </w:rPr>
        <w:t>er and arguably more expansive ground of</w:t>
      </w:r>
      <w:r w:rsidR="004A07A0" w:rsidRPr="00CC5771">
        <w:rPr>
          <w:rFonts w:ascii="Times New Roman" w:hAnsi="Times New Roman" w:cs="Times New Roman"/>
          <w:lang w:val="en-CA"/>
        </w:rPr>
        <w:t xml:space="preserve"> </w:t>
      </w:r>
      <w:r w:rsidR="004A07A0" w:rsidRPr="00CC5771">
        <w:rPr>
          <w:rFonts w:ascii="Times New Roman" w:hAnsi="Times New Roman" w:cs="Times New Roman"/>
          <w:lang w:val="en-CA"/>
        </w:rPr>
        <w:lastRenderedPageBreak/>
        <w:t>“</w:t>
      </w:r>
      <w:r w:rsidR="00A37FF5" w:rsidRPr="00CC5771">
        <w:rPr>
          <w:rFonts w:ascii="Times New Roman" w:hAnsi="Times New Roman" w:cs="Times New Roman"/>
          <w:lang w:val="en-CA"/>
        </w:rPr>
        <w:t>gender expression.</w:t>
      </w:r>
      <w:r w:rsidR="004A07A0" w:rsidRPr="00CC5771">
        <w:rPr>
          <w:rFonts w:ascii="Times New Roman" w:hAnsi="Times New Roman" w:cs="Times New Roman"/>
          <w:lang w:val="en-CA"/>
        </w:rPr>
        <w:t xml:space="preserve">” </w:t>
      </w:r>
      <w:r w:rsidR="00A37FF5" w:rsidRPr="00CC5771">
        <w:rPr>
          <w:rFonts w:ascii="Times New Roman" w:hAnsi="Times New Roman" w:cs="Times New Roman"/>
          <w:lang w:val="en-CA"/>
        </w:rPr>
        <w:t xml:space="preserve">Yet </w:t>
      </w:r>
      <w:r w:rsidR="004C7B0B" w:rsidRPr="00CC5771">
        <w:rPr>
          <w:rFonts w:ascii="Times New Roman" w:hAnsi="Times New Roman" w:cs="Times New Roman"/>
          <w:lang w:val="en-CA"/>
        </w:rPr>
        <w:t>the Tribunal</w:t>
      </w:r>
      <w:r w:rsidR="00A37FF5" w:rsidRPr="00CC5771">
        <w:rPr>
          <w:rFonts w:ascii="Times New Roman" w:hAnsi="Times New Roman" w:cs="Times New Roman"/>
          <w:lang w:val="en-CA"/>
        </w:rPr>
        <w:t xml:space="preserve"> justifies its choice to survey this</w:t>
      </w:r>
      <w:r w:rsidR="004A07A0" w:rsidRPr="00CC5771">
        <w:rPr>
          <w:rFonts w:ascii="Times New Roman" w:hAnsi="Times New Roman" w:cs="Times New Roman"/>
          <w:lang w:val="en-CA"/>
        </w:rPr>
        <w:t xml:space="preserve"> history, explaining</w:t>
      </w:r>
      <w:r w:rsidR="00A37FF5" w:rsidRPr="00CC5771">
        <w:rPr>
          <w:rFonts w:ascii="Times New Roman" w:hAnsi="Times New Roman" w:cs="Times New Roman"/>
          <w:lang w:val="en-CA"/>
        </w:rPr>
        <w:t xml:space="preserve"> that it is</w:t>
      </w:r>
      <w:r w:rsidR="004A07A0" w:rsidRPr="00CC5771">
        <w:rPr>
          <w:rFonts w:ascii="Times New Roman" w:hAnsi="Times New Roman" w:cs="Times New Roman"/>
          <w:lang w:val="en-CA"/>
        </w:rPr>
        <w:t xml:space="preserve"> </w:t>
      </w:r>
      <w:r w:rsidR="00A37FF5" w:rsidRPr="00CC5771">
        <w:rPr>
          <w:rFonts w:ascii="Times New Roman" w:hAnsi="Times New Roman" w:cs="Times New Roman"/>
          <w:lang w:val="en-CA"/>
        </w:rPr>
        <w:t>“</w:t>
      </w:r>
      <w:r w:rsidR="004A07A0" w:rsidRPr="00CC5771">
        <w:rPr>
          <w:rFonts w:ascii="Times New Roman" w:hAnsi="Times New Roman" w:cs="Times New Roman"/>
          <w:lang w:val="en-CA"/>
        </w:rPr>
        <w:t>important to con</w:t>
      </w:r>
      <w:r w:rsidR="00A37FF5" w:rsidRPr="00CC5771">
        <w:rPr>
          <w:rFonts w:ascii="Times New Roman" w:hAnsi="Times New Roman" w:cs="Times New Roman"/>
          <w:lang w:val="en-CA"/>
        </w:rPr>
        <w:t xml:space="preserve">sider the issue of whether the </w:t>
      </w:r>
      <w:r w:rsidR="00912EC7">
        <w:rPr>
          <w:rFonts w:ascii="Times New Roman" w:hAnsi="Times New Roman" w:cs="Times New Roman"/>
          <w:lang w:val="en-CA"/>
        </w:rPr>
        <w:t>‘</w:t>
      </w:r>
      <w:r w:rsidR="00A37FF5" w:rsidRPr="00CC5771">
        <w:rPr>
          <w:rFonts w:ascii="Times New Roman" w:hAnsi="Times New Roman" w:cs="Times New Roman"/>
          <w:lang w:val="en-CA"/>
        </w:rPr>
        <w:t>clean shaven policy</w:t>
      </w:r>
      <w:r w:rsidR="00912EC7">
        <w:rPr>
          <w:rFonts w:ascii="Times New Roman" w:hAnsi="Times New Roman" w:cs="Times New Roman"/>
          <w:lang w:val="en-CA"/>
        </w:rPr>
        <w:t>’</w:t>
      </w:r>
      <w:r w:rsidR="004A07A0" w:rsidRPr="00CC5771">
        <w:rPr>
          <w:rFonts w:ascii="Times New Roman" w:hAnsi="Times New Roman" w:cs="Times New Roman"/>
          <w:lang w:val="en-CA"/>
        </w:rPr>
        <w:t xml:space="preserve"> is capable of amounting to discrimination against the applicant because of sex, if only to provide a backdrop for consideration of the issue of whether this policy is capable of amountin</w:t>
      </w:r>
      <w:r w:rsidR="00A37FF5" w:rsidRPr="00CC5771">
        <w:rPr>
          <w:rFonts w:ascii="Times New Roman" w:hAnsi="Times New Roman" w:cs="Times New Roman"/>
          <w:lang w:val="en-CA"/>
        </w:rPr>
        <w:t xml:space="preserve">g to discrimination because of </w:t>
      </w:r>
      <w:r w:rsidR="00912EC7">
        <w:rPr>
          <w:rFonts w:ascii="Times New Roman" w:hAnsi="Times New Roman" w:cs="Times New Roman"/>
          <w:lang w:val="en-CA"/>
        </w:rPr>
        <w:t>‘</w:t>
      </w:r>
      <w:r w:rsidR="00A37FF5" w:rsidRPr="00CC5771">
        <w:rPr>
          <w:rFonts w:ascii="Times New Roman" w:hAnsi="Times New Roman" w:cs="Times New Roman"/>
          <w:lang w:val="en-CA"/>
        </w:rPr>
        <w:t>gender expression</w:t>
      </w:r>
      <w:r w:rsidR="000257B5">
        <w:rPr>
          <w:rFonts w:ascii="Times New Roman" w:hAnsi="Times New Roman" w:cs="Times New Roman"/>
          <w:lang w:val="en-CA"/>
        </w:rPr>
        <w:t>,</w:t>
      </w:r>
      <w:r w:rsidR="00912EC7">
        <w:rPr>
          <w:rFonts w:ascii="Times New Roman" w:hAnsi="Times New Roman" w:cs="Times New Roman"/>
          <w:lang w:val="en-CA"/>
        </w:rPr>
        <w:t>’</w:t>
      </w:r>
      <w:r w:rsidR="004A07A0" w:rsidRPr="00CC5771">
        <w:rPr>
          <w:rFonts w:ascii="Times New Roman" w:hAnsi="Times New Roman" w:cs="Times New Roman"/>
          <w:lang w:val="en-CA"/>
        </w:rPr>
        <w:t xml:space="preserve"> particularly since sex has been a protected ground u</w:t>
      </w:r>
      <w:r w:rsidR="00A37FF5" w:rsidRPr="00CC5771">
        <w:rPr>
          <w:rFonts w:ascii="Times New Roman" w:hAnsi="Times New Roman" w:cs="Times New Roman"/>
          <w:lang w:val="en-CA"/>
        </w:rPr>
        <w:t xml:space="preserve">nder the Code since 1972 while </w:t>
      </w:r>
      <w:r w:rsidR="00912EC7">
        <w:rPr>
          <w:rFonts w:ascii="Times New Roman" w:hAnsi="Times New Roman" w:cs="Times New Roman"/>
          <w:lang w:val="en-CA"/>
        </w:rPr>
        <w:t>‘</w:t>
      </w:r>
      <w:r w:rsidR="00A37FF5" w:rsidRPr="00CC5771">
        <w:rPr>
          <w:rFonts w:ascii="Times New Roman" w:hAnsi="Times New Roman" w:cs="Times New Roman"/>
          <w:lang w:val="en-CA"/>
        </w:rPr>
        <w:t>gender expression</w:t>
      </w:r>
      <w:r w:rsidR="00912EC7">
        <w:rPr>
          <w:rFonts w:ascii="Times New Roman" w:hAnsi="Times New Roman" w:cs="Times New Roman"/>
          <w:lang w:val="en-CA"/>
        </w:rPr>
        <w:t>’</w:t>
      </w:r>
      <w:r w:rsidR="004A07A0" w:rsidRPr="00CC5771">
        <w:rPr>
          <w:rFonts w:ascii="Times New Roman" w:hAnsi="Times New Roman" w:cs="Times New Roman"/>
          <w:lang w:val="en-CA"/>
        </w:rPr>
        <w:t xml:space="preserve"> was only added as a protected ground in 2012 and has not yet been extensively considered in the case law.</w:t>
      </w:r>
      <w:r w:rsidR="00A56A58" w:rsidRPr="00CC5771">
        <w:rPr>
          <w:rFonts w:ascii="Times New Roman" w:hAnsi="Times New Roman" w:cs="Times New Roman"/>
          <w:lang w:val="en-CA"/>
        </w:rPr>
        <w:t>”</w:t>
      </w:r>
      <w:r w:rsidR="004A07A0" w:rsidRPr="00CC5771">
        <w:rPr>
          <w:rStyle w:val="FootnoteReference"/>
          <w:rFonts w:ascii="Times New Roman" w:hAnsi="Times New Roman" w:cs="Times New Roman"/>
          <w:lang w:val="en-CA"/>
        </w:rPr>
        <w:footnoteReference w:id="58"/>
      </w:r>
      <w:r w:rsidR="00A37FF5" w:rsidRPr="00CC5771">
        <w:rPr>
          <w:rFonts w:ascii="Times New Roman" w:hAnsi="Times New Roman" w:cs="Times New Roman"/>
          <w:lang w:val="en-CA"/>
        </w:rPr>
        <w:t xml:space="preserve"> Put differently, given tha</w:t>
      </w:r>
      <w:r w:rsidR="004C7B0B" w:rsidRPr="00CC5771">
        <w:rPr>
          <w:rFonts w:ascii="Times New Roman" w:hAnsi="Times New Roman" w:cs="Times New Roman"/>
          <w:lang w:val="en-CA"/>
        </w:rPr>
        <w:t>t “gender expression” remains a new, largely</w:t>
      </w:r>
      <w:r w:rsidR="00A37FF5" w:rsidRPr="00CC5771">
        <w:rPr>
          <w:rFonts w:ascii="Times New Roman" w:hAnsi="Times New Roman" w:cs="Times New Roman"/>
          <w:lang w:val="en-CA"/>
        </w:rPr>
        <w:t xml:space="preserve"> unknown entity, the Tribunal seeks guidance from the much older and well-established body of cases interpreting the meaning of “sex” in the Ontario</w:t>
      </w:r>
      <w:r w:rsidR="00A37FF5" w:rsidRPr="00CC5771">
        <w:rPr>
          <w:rFonts w:ascii="Times New Roman" w:hAnsi="Times New Roman" w:cs="Times New Roman"/>
          <w:i/>
          <w:lang w:val="en-CA"/>
        </w:rPr>
        <w:t xml:space="preserve"> Human Rights Code</w:t>
      </w:r>
      <w:r w:rsidR="00A37FF5" w:rsidRPr="00CC5771">
        <w:rPr>
          <w:rFonts w:ascii="Times New Roman" w:hAnsi="Times New Roman" w:cs="Times New Roman"/>
          <w:lang w:val="en-CA"/>
        </w:rPr>
        <w:t>.</w:t>
      </w:r>
    </w:p>
    <w:p w14:paraId="44CFC142" w14:textId="3A2B50E4" w:rsidR="004C7B0B" w:rsidRPr="00CC5771" w:rsidRDefault="004A07A0"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 xml:space="preserve">After surveying the </w:t>
      </w:r>
      <w:r w:rsidR="00186243" w:rsidRPr="00CC5771">
        <w:rPr>
          <w:rFonts w:ascii="Times New Roman" w:hAnsi="Times New Roman" w:cs="Times New Roman"/>
          <w:lang w:val="en-CA"/>
        </w:rPr>
        <w:t>older “sex” discrimination caselaw, the Tribunal turns to “gender expression”</w:t>
      </w:r>
      <w:r w:rsidR="00A37FF5" w:rsidRPr="00CC5771">
        <w:rPr>
          <w:rFonts w:ascii="Times New Roman" w:hAnsi="Times New Roman" w:cs="Times New Roman"/>
          <w:lang w:val="en-CA"/>
        </w:rPr>
        <w:t xml:space="preserve"> and construct</w:t>
      </w:r>
      <w:r w:rsidR="00A56A58" w:rsidRPr="00CC5771">
        <w:rPr>
          <w:rFonts w:ascii="Times New Roman" w:hAnsi="Times New Roman" w:cs="Times New Roman"/>
          <w:lang w:val="en-CA"/>
        </w:rPr>
        <w:t>s</w:t>
      </w:r>
      <w:r w:rsidR="00A37FF5" w:rsidRPr="00CC5771">
        <w:rPr>
          <w:rFonts w:ascii="Times New Roman" w:hAnsi="Times New Roman" w:cs="Times New Roman"/>
          <w:lang w:val="en-CA"/>
        </w:rPr>
        <w:t xml:space="preserve"> the new human rights ground in particularly narrow terms.</w:t>
      </w:r>
      <w:r w:rsidR="00A56A58" w:rsidRPr="00CC5771">
        <w:rPr>
          <w:rFonts w:ascii="Times New Roman" w:hAnsi="Times New Roman" w:cs="Times New Roman"/>
          <w:lang w:val="en-CA"/>
        </w:rPr>
        <w:t xml:space="preserve"> The Tribunal explains: “The issue for me to consider is whether the ground of </w:t>
      </w:r>
      <w:r w:rsidR="00912EC7">
        <w:rPr>
          <w:rFonts w:ascii="Times New Roman" w:hAnsi="Times New Roman" w:cs="Times New Roman"/>
          <w:lang w:val="en-CA"/>
        </w:rPr>
        <w:t>‘</w:t>
      </w:r>
      <w:r w:rsidR="00A56A58" w:rsidRPr="00CC5771">
        <w:rPr>
          <w:rFonts w:ascii="Times New Roman" w:hAnsi="Times New Roman" w:cs="Times New Roman"/>
          <w:lang w:val="en-CA"/>
        </w:rPr>
        <w:t>gender expression</w:t>
      </w:r>
      <w:r w:rsidR="00912EC7">
        <w:rPr>
          <w:rFonts w:ascii="Times New Roman" w:hAnsi="Times New Roman" w:cs="Times New Roman"/>
          <w:lang w:val="en-CA"/>
        </w:rPr>
        <w:t>’</w:t>
      </w:r>
      <w:r w:rsidR="00A56A58" w:rsidRPr="00CC5771">
        <w:rPr>
          <w:rFonts w:ascii="Times New Roman" w:hAnsi="Times New Roman" w:cs="Times New Roman"/>
          <w:lang w:val="en-CA"/>
        </w:rPr>
        <w:t xml:space="preserve"> added as a result of </w:t>
      </w:r>
      <w:r w:rsidR="00A56A58" w:rsidRPr="00CC5771">
        <w:rPr>
          <w:rFonts w:ascii="Times New Roman" w:hAnsi="Times New Roman" w:cs="Times New Roman"/>
          <w:i/>
          <w:lang w:val="en-CA"/>
        </w:rPr>
        <w:t>Toby</w:t>
      </w:r>
      <w:r w:rsidR="00912EC7">
        <w:rPr>
          <w:rFonts w:ascii="Times New Roman" w:hAnsi="Times New Roman" w:cs="Times New Roman"/>
          <w:i/>
          <w:lang w:val="en-CA"/>
        </w:rPr>
        <w:t>’</w:t>
      </w:r>
      <w:r w:rsidR="00A56A58" w:rsidRPr="00CC5771">
        <w:rPr>
          <w:rFonts w:ascii="Times New Roman" w:hAnsi="Times New Roman" w:cs="Times New Roman"/>
          <w:i/>
          <w:lang w:val="en-CA"/>
        </w:rPr>
        <w:t>s Act</w:t>
      </w:r>
      <w:r w:rsidR="00A56A58" w:rsidRPr="00CC5771">
        <w:rPr>
          <w:rFonts w:ascii="Times New Roman" w:hAnsi="Times New Roman" w:cs="Times New Roman"/>
          <w:lang w:val="en-CA"/>
        </w:rPr>
        <w:t xml:space="preserve"> should be interpreted to protect the right of cisgendered </w:t>
      </w:r>
      <w:r w:rsidR="00A86F55" w:rsidRPr="00CC5771">
        <w:rPr>
          <w:rFonts w:ascii="Times New Roman" w:hAnsi="Times New Roman" w:cs="Times New Roman"/>
          <w:lang w:val="en-CA"/>
        </w:rPr>
        <w:t xml:space="preserve">[sic] </w:t>
      </w:r>
      <w:r w:rsidR="00A56A58" w:rsidRPr="00CC5771">
        <w:rPr>
          <w:rFonts w:ascii="Times New Roman" w:hAnsi="Times New Roman" w:cs="Times New Roman"/>
          <w:lang w:val="en-CA"/>
        </w:rPr>
        <w:t>men to wear beards. In my view, it should not.”</w:t>
      </w:r>
      <w:r w:rsidR="00A56A58" w:rsidRPr="00CC5771">
        <w:rPr>
          <w:rStyle w:val="FootnoteReference"/>
          <w:rFonts w:ascii="Times New Roman" w:hAnsi="Times New Roman" w:cs="Times New Roman"/>
          <w:lang w:val="en-CA"/>
        </w:rPr>
        <w:footnoteReference w:id="59"/>
      </w:r>
      <w:r w:rsidR="00A56A58" w:rsidRPr="00CC5771">
        <w:rPr>
          <w:rFonts w:ascii="Times New Roman" w:hAnsi="Times New Roman" w:cs="Times New Roman"/>
          <w:lang w:val="en-CA"/>
        </w:rPr>
        <w:t xml:space="preserve"> In support of this position, the Tribunal leans heavily on the “abundantly clear” legislative goals of </w:t>
      </w:r>
      <w:r w:rsidR="00A56A58" w:rsidRPr="00CC5771">
        <w:rPr>
          <w:rFonts w:ascii="Times New Roman" w:hAnsi="Times New Roman" w:cs="Times New Roman"/>
          <w:i/>
          <w:lang w:val="en-CA"/>
        </w:rPr>
        <w:t>Toby</w:t>
      </w:r>
      <w:r w:rsidR="00912EC7">
        <w:rPr>
          <w:rFonts w:ascii="Times New Roman" w:hAnsi="Times New Roman" w:cs="Times New Roman"/>
          <w:i/>
          <w:lang w:val="en-CA"/>
        </w:rPr>
        <w:t>’</w:t>
      </w:r>
      <w:r w:rsidR="00A56A58" w:rsidRPr="00CC5771">
        <w:rPr>
          <w:rFonts w:ascii="Times New Roman" w:hAnsi="Times New Roman" w:cs="Times New Roman"/>
          <w:i/>
          <w:lang w:val="en-CA"/>
        </w:rPr>
        <w:t>s Act</w:t>
      </w:r>
      <w:r w:rsidR="00A56A58" w:rsidRPr="00CC5771">
        <w:rPr>
          <w:rFonts w:ascii="Times New Roman" w:hAnsi="Times New Roman" w:cs="Times New Roman"/>
          <w:lang w:val="en-CA"/>
        </w:rPr>
        <w:t>, which were to “ensure the protection of the rights of transgendered [sic] and gender non-conforming persons</w:t>
      </w:r>
      <w:r w:rsidR="009C3F79">
        <w:rPr>
          <w:rFonts w:ascii="Times New Roman" w:hAnsi="Times New Roman" w:cs="Times New Roman"/>
          <w:lang w:val="en-CA"/>
        </w:rPr>
        <w:t>.”</w:t>
      </w:r>
      <w:r w:rsidR="00A56A58" w:rsidRPr="00CC5771">
        <w:rPr>
          <w:rStyle w:val="FootnoteReference"/>
          <w:rFonts w:ascii="Times New Roman" w:hAnsi="Times New Roman" w:cs="Times New Roman"/>
          <w:lang w:val="en-CA"/>
        </w:rPr>
        <w:footnoteReference w:id="60"/>
      </w:r>
      <w:r w:rsidR="00A56A58" w:rsidRPr="00CC5771">
        <w:rPr>
          <w:rFonts w:ascii="Times New Roman" w:hAnsi="Times New Roman" w:cs="Times New Roman"/>
          <w:lang w:val="en-CA"/>
        </w:rPr>
        <w:t xml:space="preserve"> In short, </w:t>
      </w:r>
      <w:r w:rsidR="00D87ADE" w:rsidRPr="00CC5771">
        <w:rPr>
          <w:rFonts w:ascii="Times New Roman" w:hAnsi="Times New Roman" w:cs="Times New Roman"/>
          <w:lang w:val="en-CA"/>
        </w:rPr>
        <w:t>because the legislature intended</w:t>
      </w:r>
      <w:r w:rsidR="00A56A58" w:rsidRPr="00CC5771">
        <w:rPr>
          <w:rFonts w:ascii="Times New Roman" w:hAnsi="Times New Roman" w:cs="Times New Roman"/>
          <w:lang w:val="en-CA"/>
        </w:rPr>
        <w:t xml:space="preserve"> </w:t>
      </w:r>
      <w:r w:rsidR="00A56A58" w:rsidRPr="00CC5771">
        <w:rPr>
          <w:rFonts w:ascii="Times New Roman" w:hAnsi="Times New Roman" w:cs="Times New Roman"/>
          <w:i/>
          <w:lang w:val="en-CA"/>
        </w:rPr>
        <w:t>Toby</w:t>
      </w:r>
      <w:r w:rsidR="00912EC7">
        <w:rPr>
          <w:rFonts w:ascii="Times New Roman" w:hAnsi="Times New Roman" w:cs="Times New Roman"/>
          <w:i/>
          <w:lang w:val="en-CA"/>
        </w:rPr>
        <w:t>’</w:t>
      </w:r>
      <w:r w:rsidR="00A56A58" w:rsidRPr="00CC5771">
        <w:rPr>
          <w:rFonts w:ascii="Times New Roman" w:hAnsi="Times New Roman" w:cs="Times New Roman"/>
          <w:i/>
          <w:lang w:val="en-CA"/>
        </w:rPr>
        <w:t>s Act</w:t>
      </w:r>
      <w:r w:rsidR="00A56A58" w:rsidRPr="00CC5771">
        <w:rPr>
          <w:rFonts w:ascii="Times New Roman" w:hAnsi="Times New Roman" w:cs="Times New Roman"/>
          <w:lang w:val="en-CA"/>
        </w:rPr>
        <w:t xml:space="preserve"> </w:t>
      </w:r>
      <w:r w:rsidR="00D87ADE" w:rsidRPr="00CC5771">
        <w:rPr>
          <w:rFonts w:ascii="Times New Roman" w:hAnsi="Times New Roman" w:cs="Times New Roman"/>
          <w:lang w:val="en-CA"/>
        </w:rPr>
        <w:t>to</w:t>
      </w:r>
      <w:r w:rsidR="00A56A58" w:rsidRPr="00CC5771">
        <w:rPr>
          <w:rFonts w:ascii="Times New Roman" w:hAnsi="Times New Roman" w:cs="Times New Roman"/>
          <w:lang w:val="en-CA"/>
        </w:rPr>
        <w:t xml:space="preserve"> protect trans</w:t>
      </w:r>
      <w:r w:rsidR="008E04FE" w:rsidRPr="00CC5771">
        <w:rPr>
          <w:rFonts w:ascii="Times New Roman" w:hAnsi="Times New Roman" w:cs="Times New Roman"/>
          <w:lang w:val="en-CA"/>
        </w:rPr>
        <w:t>gender</w:t>
      </w:r>
      <w:r w:rsidR="00A56A58" w:rsidRPr="00CC5771">
        <w:rPr>
          <w:rFonts w:ascii="Times New Roman" w:hAnsi="Times New Roman" w:cs="Times New Roman"/>
          <w:lang w:val="en-CA"/>
        </w:rPr>
        <w:t xml:space="preserve"> and/or non-binary </w:t>
      </w:r>
      <w:r w:rsidR="00A56A58" w:rsidRPr="00CC5771">
        <w:rPr>
          <w:rFonts w:ascii="Times New Roman" w:hAnsi="Times New Roman" w:cs="Times New Roman"/>
          <w:lang w:val="en-CA"/>
        </w:rPr>
        <w:lastRenderedPageBreak/>
        <w:t xml:space="preserve">communities and Browne is </w:t>
      </w:r>
      <w:r w:rsidR="00CB732D" w:rsidRPr="00CC5771">
        <w:rPr>
          <w:rFonts w:ascii="Times New Roman" w:hAnsi="Times New Roman" w:cs="Times New Roman"/>
          <w:lang w:val="en-CA"/>
        </w:rPr>
        <w:t>cisgender,</w:t>
      </w:r>
      <w:r w:rsidR="00A56A58" w:rsidRPr="00CC5771">
        <w:rPr>
          <w:rFonts w:ascii="Times New Roman" w:hAnsi="Times New Roman" w:cs="Times New Roman"/>
          <w:lang w:val="en-CA"/>
        </w:rPr>
        <w:t xml:space="preserve"> he falls outside the scope of th</w:t>
      </w:r>
      <w:r w:rsidR="004C7B0B" w:rsidRPr="00CC5771">
        <w:rPr>
          <w:rFonts w:ascii="Times New Roman" w:hAnsi="Times New Roman" w:cs="Times New Roman"/>
          <w:lang w:val="en-CA"/>
        </w:rPr>
        <w:t>e ground of “gender expression</w:t>
      </w:r>
      <w:r w:rsidR="009C3F79">
        <w:rPr>
          <w:rFonts w:ascii="Times New Roman" w:hAnsi="Times New Roman" w:cs="Times New Roman"/>
          <w:lang w:val="en-CA"/>
        </w:rPr>
        <w:t>.”</w:t>
      </w:r>
      <w:r w:rsidR="00A56A58" w:rsidRPr="00CC5771">
        <w:rPr>
          <w:rStyle w:val="FootnoteReference"/>
          <w:rFonts w:ascii="Times New Roman" w:hAnsi="Times New Roman" w:cs="Times New Roman"/>
          <w:lang w:val="en-CA"/>
        </w:rPr>
        <w:footnoteReference w:id="61"/>
      </w:r>
      <w:r w:rsidR="00A56A58" w:rsidRPr="00CC5771">
        <w:rPr>
          <w:rFonts w:ascii="Times New Roman" w:hAnsi="Times New Roman" w:cs="Times New Roman"/>
          <w:lang w:val="en-CA"/>
        </w:rPr>
        <w:t xml:space="preserve"> </w:t>
      </w:r>
    </w:p>
    <w:p w14:paraId="6F7A73C2" w14:textId="081E3C8F" w:rsidR="005F5945" w:rsidRPr="00CC5771" w:rsidRDefault="00D87ADE"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 xml:space="preserve">Without finding a case of </w:t>
      </w:r>
      <w:r w:rsidRPr="00CC5771">
        <w:rPr>
          <w:rFonts w:ascii="Times New Roman" w:hAnsi="Times New Roman" w:cs="Times New Roman"/>
          <w:i/>
          <w:lang w:val="en-CA"/>
        </w:rPr>
        <w:t>prima facie</w:t>
      </w:r>
      <w:r w:rsidRPr="00CC5771">
        <w:rPr>
          <w:rFonts w:ascii="Times New Roman" w:hAnsi="Times New Roman" w:cs="Times New Roman"/>
          <w:lang w:val="en-CA"/>
        </w:rPr>
        <w:t xml:space="preserve"> discrimination</w:t>
      </w:r>
      <w:r w:rsidR="00A56A58" w:rsidRPr="00CC5771">
        <w:rPr>
          <w:rFonts w:ascii="Times New Roman" w:hAnsi="Times New Roman" w:cs="Times New Roman"/>
          <w:lang w:val="en-CA"/>
        </w:rPr>
        <w:t xml:space="preserve">, </w:t>
      </w:r>
      <w:r w:rsidRPr="00CC5771">
        <w:rPr>
          <w:rFonts w:ascii="Times New Roman" w:hAnsi="Times New Roman" w:cs="Times New Roman"/>
          <w:lang w:val="en-CA"/>
        </w:rPr>
        <w:t>the Tribunal</w:t>
      </w:r>
      <w:r w:rsidR="00A56A58" w:rsidRPr="00CC5771">
        <w:rPr>
          <w:rFonts w:ascii="Times New Roman" w:hAnsi="Times New Roman" w:cs="Times New Roman"/>
          <w:lang w:val="en-CA"/>
        </w:rPr>
        <w:t xml:space="preserve"> proceeds to leave the door</w:t>
      </w:r>
      <w:r w:rsidR="007B14AF" w:rsidRPr="00CC5771">
        <w:rPr>
          <w:rFonts w:ascii="Times New Roman" w:hAnsi="Times New Roman" w:cs="Times New Roman"/>
          <w:lang w:val="en-CA"/>
        </w:rPr>
        <w:t xml:space="preserve"> open</w:t>
      </w:r>
      <w:r w:rsidR="00A56A58" w:rsidRPr="00CC5771">
        <w:rPr>
          <w:rFonts w:ascii="Times New Roman" w:hAnsi="Times New Roman" w:cs="Times New Roman"/>
          <w:lang w:val="en-CA"/>
        </w:rPr>
        <w:t xml:space="preserve"> for other cisgender claimants, just not </w:t>
      </w:r>
      <w:r w:rsidR="000555DF" w:rsidRPr="00CC5771">
        <w:rPr>
          <w:rFonts w:ascii="Times New Roman" w:hAnsi="Times New Roman" w:cs="Times New Roman"/>
          <w:lang w:val="en-CA"/>
        </w:rPr>
        <w:t>Browne</w:t>
      </w:r>
      <w:r w:rsidR="00A56A58" w:rsidRPr="00CC5771">
        <w:rPr>
          <w:rFonts w:ascii="Times New Roman" w:hAnsi="Times New Roman" w:cs="Times New Roman"/>
          <w:lang w:val="en-CA"/>
        </w:rPr>
        <w:t>, to argue that they have experienced discrimination on t</w:t>
      </w:r>
      <w:r w:rsidR="000555DF" w:rsidRPr="00CC5771">
        <w:rPr>
          <w:rFonts w:ascii="Times New Roman" w:hAnsi="Times New Roman" w:cs="Times New Roman"/>
          <w:lang w:val="en-CA"/>
        </w:rPr>
        <w:t>he basis of “gender expression</w:t>
      </w:r>
      <w:r w:rsidR="007B14AF" w:rsidRPr="00CC5771">
        <w:rPr>
          <w:rFonts w:ascii="Times New Roman" w:hAnsi="Times New Roman" w:cs="Times New Roman"/>
          <w:lang w:val="en-CA"/>
        </w:rPr>
        <w:t>”:</w:t>
      </w:r>
      <w:r w:rsidR="00A56A58" w:rsidRPr="00CC5771">
        <w:rPr>
          <w:rFonts w:ascii="Times New Roman" w:hAnsi="Times New Roman" w:cs="Times New Roman"/>
          <w:lang w:val="en-CA"/>
        </w:rPr>
        <w:t xml:space="preserve"> “The specific examples cited in the Commission</w:t>
      </w:r>
      <w:r w:rsidR="00912EC7">
        <w:rPr>
          <w:rFonts w:ascii="Times New Roman" w:hAnsi="Times New Roman" w:cs="Times New Roman"/>
          <w:lang w:val="en-CA"/>
        </w:rPr>
        <w:t>’</w:t>
      </w:r>
      <w:r w:rsidR="00A56A58" w:rsidRPr="00CC5771">
        <w:rPr>
          <w:rFonts w:ascii="Times New Roman" w:hAnsi="Times New Roman" w:cs="Times New Roman"/>
          <w:lang w:val="en-CA"/>
        </w:rPr>
        <w:t xml:space="preserve">s Policy where the ground of </w:t>
      </w:r>
      <w:r w:rsidR="00912EC7">
        <w:rPr>
          <w:rFonts w:ascii="Times New Roman" w:hAnsi="Times New Roman" w:cs="Times New Roman"/>
          <w:lang w:val="en-CA"/>
        </w:rPr>
        <w:t>‘</w:t>
      </w:r>
      <w:r w:rsidR="00A56A58" w:rsidRPr="00CC5771">
        <w:rPr>
          <w:rFonts w:ascii="Times New Roman" w:hAnsi="Times New Roman" w:cs="Times New Roman"/>
          <w:lang w:val="en-CA"/>
        </w:rPr>
        <w:t>gender expression</w:t>
      </w:r>
      <w:r w:rsidR="00912EC7">
        <w:rPr>
          <w:rFonts w:ascii="Times New Roman" w:hAnsi="Times New Roman" w:cs="Times New Roman"/>
          <w:lang w:val="en-CA"/>
        </w:rPr>
        <w:t>’</w:t>
      </w:r>
      <w:r w:rsidR="00A56A58" w:rsidRPr="00CC5771">
        <w:rPr>
          <w:rFonts w:ascii="Times New Roman" w:hAnsi="Times New Roman" w:cs="Times New Roman"/>
          <w:lang w:val="en-CA"/>
        </w:rPr>
        <w:t xml:space="preserve"> may extend beyond the protection of transgendered</w:t>
      </w:r>
      <w:r w:rsidR="004C7B0B" w:rsidRPr="00CC5771">
        <w:rPr>
          <w:rFonts w:ascii="Times New Roman" w:hAnsi="Times New Roman" w:cs="Times New Roman"/>
          <w:lang w:val="en-CA"/>
        </w:rPr>
        <w:t xml:space="preserve"> [sic]</w:t>
      </w:r>
      <w:r w:rsidR="00A56A58" w:rsidRPr="00CC5771">
        <w:rPr>
          <w:rFonts w:ascii="Times New Roman" w:hAnsi="Times New Roman" w:cs="Times New Roman"/>
          <w:lang w:val="en-CA"/>
        </w:rPr>
        <w:t xml:space="preserve"> and gender non-conforming persons arise out of factual circumstances that are very different from those in the instant case. Whether or not the ground of </w:t>
      </w:r>
      <w:r w:rsidR="00912EC7">
        <w:rPr>
          <w:rFonts w:ascii="Times New Roman" w:hAnsi="Times New Roman" w:cs="Times New Roman"/>
          <w:lang w:val="en-CA"/>
        </w:rPr>
        <w:t>‘</w:t>
      </w:r>
      <w:r w:rsidR="00A56A58" w:rsidRPr="00CC5771">
        <w:rPr>
          <w:rFonts w:ascii="Times New Roman" w:hAnsi="Times New Roman" w:cs="Times New Roman"/>
          <w:lang w:val="en-CA"/>
        </w:rPr>
        <w:t>gender expression</w:t>
      </w:r>
      <w:r w:rsidR="00912EC7">
        <w:rPr>
          <w:rFonts w:ascii="Times New Roman" w:hAnsi="Times New Roman" w:cs="Times New Roman"/>
          <w:lang w:val="en-CA"/>
        </w:rPr>
        <w:t>’</w:t>
      </w:r>
      <w:r w:rsidR="00A56A58" w:rsidRPr="00CC5771">
        <w:rPr>
          <w:rFonts w:ascii="Times New Roman" w:hAnsi="Times New Roman" w:cs="Times New Roman"/>
          <w:lang w:val="en-CA"/>
        </w:rPr>
        <w:t xml:space="preserve"> applies in the types of factual circumstances referenced in the Commission Policy, or whether these circumstances are already covered by other protected grounds, is a matter for consideration at a later time in the appropriate context.”</w:t>
      </w:r>
      <w:r w:rsidR="00A56A58" w:rsidRPr="00CC5771">
        <w:rPr>
          <w:rStyle w:val="FootnoteReference"/>
          <w:rFonts w:ascii="Times New Roman" w:hAnsi="Times New Roman" w:cs="Times New Roman"/>
          <w:lang w:val="en-CA"/>
        </w:rPr>
        <w:footnoteReference w:id="62"/>
      </w:r>
      <w:r w:rsidR="000555DF" w:rsidRPr="00CC5771">
        <w:rPr>
          <w:rFonts w:ascii="Times New Roman" w:hAnsi="Times New Roman" w:cs="Times New Roman"/>
          <w:lang w:val="en-CA"/>
        </w:rPr>
        <w:t xml:space="preserve"> </w:t>
      </w:r>
      <w:r w:rsidR="00BD4379" w:rsidRPr="00CC5771">
        <w:rPr>
          <w:rFonts w:ascii="Times New Roman" w:hAnsi="Times New Roman" w:cs="Times New Roman"/>
          <w:lang w:val="en-CA"/>
        </w:rPr>
        <w:t>Put differently</w:t>
      </w:r>
      <w:r w:rsidR="009F4C60" w:rsidRPr="00CC5771">
        <w:rPr>
          <w:rFonts w:ascii="Times New Roman" w:hAnsi="Times New Roman" w:cs="Times New Roman"/>
          <w:lang w:val="en-CA"/>
        </w:rPr>
        <w:t>, the Tribunal is not prepared to definitively</w:t>
      </w:r>
      <w:r w:rsidRPr="00CC5771">
        <w:rPr>
          <w:rFonts w:ascii="Times New Roman" w:hAnsi="Times New Roman" w:cs="Times New Roman"/>
          <w:lang w:val="en-CA"/>
        </w:rPr>
        <w:t xml:space="preserve"> rule</w:t>
      </w:r>
      <w:r w:rsidR="009F4C60" w:rsidRPr="00CC5771">
        <w:rPr>
          <w:rFonts w:ascii="Times New Roman" w:hAnsi="Times New Roman" w:cs="Times New Roman"/>
          <w:lang w:val="en-CA"/>
        </w:rPr>
        <w:t xml:space="preserve"> on whether a cisgender person could </w:t>
      </w:r>
      <w:r w:rsidR="007B14AF" w:rsidRPr="00CC5771">
        <w:rPr>
          <w:rFonts w:ascii="Times New Roman" w:hAnsi="Times New Roman" w:cs="Times New Roman"/>
          <w:lang w:val="en-CA"/>
        </w:rPr>
        <w:t>ever</w:t>
      </w:r>
      <w:r w:rsidR="009F4C60" w:rsidRPr="00CC5771">
        <w:rPr>
          <w:rFonts w:ascii="Times New Roman" w:hAnsi="Times New Roman" w:cs="Times New Roman"/>
          <w:lang w:val="en-CA"/>
        </w:rPr>
        <w:t xml:space="preserve"> successfully argue that they had experienced discrimination on the basis of “gender expression</w:t>
      </w:r>
      <w:r w:rsidR="009C3F79">
        <w:rPr>
          <w:rFonts w:ascii="Times New Roman" w:hAnsi="Times New Roman" w:cs="Times New Roman"/>
          <w:lang w:val="en-CA"/>
        </w:rPr>
        <w:t>.”</w:t>
      </w:r>
    </w:p>
    <w:p w14:paraId="51CEBC87" w14:textId="2ACB09A8" w:rsidR="005F5945" w:rsidRPr="00CC5771" w:rsidRDefault="00AD5EAD"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The</w:t>
      </w:r>
      <w:r w:rsidR="005F5945" w:rsidRPr="00CC5771">
        <w:rPr>
          <w:rFonts w:ascii="Times New Roman" w:hAnsi="Times New Roman" w:cs="Times New Roman"/>
          <w:lang w:val="en-CA"/>
        </w:rPr>
        <w:t xml:space="preserve"> narrow interpretation afforded to “gender expression” in </w:t>
      </w:r>
      <w:r w:rsidR="005F5945" w:rsidRPr="00CC5771">
        <w:rPr>
          <w:rFonts w:ascii="Times New Roman" w:hAnsi="Times New Roman" w:cs="Times New Roman"/>
          <w:i/>
          <w:lang w:val="en-CA"/>
        </w:rPr>
        <w:t>Browne</w:t>
      </w:r>
      <w:r w:rsidR="005F5945" w:rsidRPr="00CC5771">
        <w:rPr>
          <w:rFonts w:ascii="Times New Roman" w:hAnsi="Times New Roman" w:cs="Times New Roman"/>
          <w:lang w:val="en-CA"/>
        </w:rPr>
        <w:t xml:space="preserve"> was recently cited </w:t>
      </w:r>
      <w:r w:rsidR="00B26C62" w:rsidRPr="00CC5771">
        <w:rPr>
          <w:rFonts w:ascii="Times New Roman" w:hAnsi="Times New Roman" w:cs="Times New Roman"/>
          <w:lang w:val="en-CA"/>
        </w:rPr>
        <w:t>approvingly</w:t>
      </w:r>
      <w:r w:rsidR="005F5945" w:rsidRPr="00CC5771">
        <w:rPr>
          <w:rFonts w:ascii="Times New Roman" w:hAnsi="Times New Roman" w:cs="Times New Roman"/>
          <w:lang w:val="en-CA"/>
        </w:rPr>
        <w:t xml:space="preserve"> </w:t>
      </w:r>
      <w:r w:rsidR="007B14AF" w:rsidRPr="00CC5771">
        <w:rPr>
          <w:rFonts w:ascii="Times New Roman" w:hAnsi="Times New Roman" w:cs="Times New Roman"/>
          <w:lang w:val="en-CA"/>
        </w:rPr>
        <w:t>in</w:t>
      </w:r>
      <w:r w:rsidR="005F5945" w:rsidRPr="00CC5771">
        <w:rPr>
          <w:rFonts w:ascii="Times New Roman" w:hAnsi="Times New Roman" w:cs="Times New Roman"/>
          <w:lang w:val="en-CA"/>
        </w:rPr>
        <w:t xml:space="preserve"> </w:t>
      </w:r>
      <w:r w:rsidR="005F5945" w:rsidRPr="00CC5771">
        <w:rPr>
          <w:rFonts w:ascii="Times New Roman" w:hAnsi="Times New Roman" w:cs="Times New Roman"/>
          <w:i/>
          <w:lang w:val="en-CA"/>
        </w:rPr>
        <w:t>Barksey v Four Corners Medical Walk In Clinic/Northwood Medical Clinics Inc</w:t>
      </w:r>
      <w:r w:rsidR="005F5945" w:rsidRPr="00CC5771">
        <w:rPr>
          <w:rFonts w:ascii="Times New Roman" w:hAnsi="Times New Roman" w:cs="Times New Roman"/>
          <w:lang w:val="en-CA"/>
        </w:rPr>
        <w:t>.</w:t>
      </w:r>
      <w:r w:rsidR="005F5945" w:rsidRPr="00CC5771">
        <w:rPr>
          <w:rStyle w:val="FootnoteReference"/>
          <w:rFonts w:ascii="Times New Roman" w:hAnsi="Times New Roman" w:cs="Times New Roman"/>
          <w:lang w:val="en-CA"/>
        </w:rPr>
        <w:footnoteReference w:id="63"/>
      </w:r>
      <w:r w:rsidR="005F5945" w:rsidRPr="00CC5771">
        <w:rPr>
          <w:rFonts w:ascii="Times New Roman" w:hAnsi="Times New Roman" w:cs="Times New Roman"/>
          <w:lang w:val="en-CA"/>
        </w:rPr>
        <w:t xml:space="preserve"> In this case, a cisgender man unsuccessfully argued that he had experienced “gender expression”</w:t>
      </w:r>
      <w:r w:rsidR="00D87ADE" w:rsidRPr="00CC5771">
        <w:rPr>
          <w:rFonts w:ascii="Times New Roman" w:hAnsi="Times New Roman" w:cs="Times New Roman"/>
          <w:lang w:val="en-CA"/>
        </w:rPr>
        <w:t xml:space="preserve"> and “disability”</w:t>
      </w:r>
      <w:r w:rsidR="005F5945" w:rsidRPr="00CC5771">
        <w:rPr>
          <w:rFonts w:ascii="Times New Roman" w:hAnsi="Times New Roman" w:cs="Times New Roman"/>
          <w:lang w:val="en-CA"/>
        </w:rPr>
        <w:t xml:space="preserve"> discrimination for his “stereotypically male” demeano</w:t>
      </w:r>
      <w:r w:rsidR="00C94C7E">
        <w:rPr>
          <w:rFonts w:ascii="Times New Roman" w:hAnsi="Times New Roman" w:cs="Times New Roman"/>
          <w:lang w:val="en-CA"/>
        </w:rPr>
        <w:t>u</w:t>
      </w:r>
      <w:r w:rsidR="005F5945" w:rsidRPr="00CC5771">
        <w:rPr>
          <w:rFonts w:ascii="Times New Roman" w:hAnsi="Times New Roman" w:cs="Times New Roman"/>
          <w:lang w:val="en-CA"/>
        </w:rPr>
        <w:t>r</w:t>
      </w:r>
      <w:r w:rsidR="00037B79" w:rsidRPr="00CC5771">
        <w:rPr>
          <w:rFonts w:ascii="Times New Roman" w:hAnsi="Times New Roman" w:cs="Times New Roman"/>
          <w:lang w:val="en-CA"/>
        </w:rPr>
        <w:t xml:space="preserve"> in a </w:t>
      </w:r>
      <w:r w:rsidR="00037B79" w:rsidRPr="00CC5771">
        <w:rPr>
          <w:rFonts w:ascii="Times New Roman" w:hAnsi="Times New Roman" w:cs="Times New Roman"/>
          <w:lang w:val="en-CA"/>
        </w:rPr>
        <w:lastRenderedPageBreak/>
        <w:t>medical clinic</w:t>
      </w:r>
      <w:r w:rsidR="005F5945" w:rsidRPr="00CC5771">
        <w:rPr>
          <w:rFonts w:ascii="Times New Roman" w:hAnsi="Times New Roman" w:cs="Times New Roman"/>
          <w:lang w:val="en-CA"/>
        </w:rPr>
        <w:t xml:space="preserve">. Relying on the reasoning in </w:t>
      </w:r>
      <w:r w:rsidR="005F5945" w:rsidRPr="00CC5771">
        <w:rPr>
          <w:rFonts w:ascii="Times New Roman" w:hAnsi="Times New Roman" w:cs="Times New Roman"/>
          <w:i/>
          <w:lang w:val="en-CA"/>
        </w:rPr>
        <w:t>Browne</w:t>
      </w:r>
      <w:r w:rsidR="005F5945" w:rsidRPr="00CC5771">
        <w:rPr>
          <w:rFonts w:ascii="Times New Roman" w:hAnsi="Times New Roman" w:cs="Times New Roman"/>
          <w:lang w:val="en-CA"/>
        </w:rPr>
        <w:t xml:space="preserve"> that </w:t>
      </w:r>
      <w:r w:rsidR="005F5945" w:rsidRPr="00CC5771">
        <w:rPr>
          <w:rFonts w:ascii="Times New Roman" w:hAnsi="Times New Roman" w:cs="Times New Roman"/>
          <w:i/>
          <w:lang w:val="en-CA"/>
        </w:rPr>
        <w:t>Toby</w:t>
      </w:r>
      <w:r w:rsidR="00912EC7">
        <w:rPr>
          <w:rFonts w:ascii="Times New Roman" w:hAnsi="Times New Roman" w:cs="Times New Roman"/>
          <w:i/>
          <w:lang w:val="en-CA"/>
        </w:rPr>
        <w:t>’</w:t>
      </w:r>
      <w:r w:rsidR="005F5945" w:rsidRPr="00CC5771">
        <w:rPr>
          <w:rFonts w:ascii="Times New Roman" w:hAnsi="Times New Roman" w:cs="Times New Roman"/>
          <w:i/>
          <w:lang w:val="en-CA"/>
        </w:rPr>
        <w:t>s Act</w:t>
      </w:r>
      <w:r w:rsidR="005F5945" w:rsidRPr="00CC5771">
        <w:rPr>
          <w:rFonts w:ascii="Times New Roman" w:hAnsi="Times New Roman" w:cs="Times New Roman"/>
          <w:lang w:val="en-CA"/>
        </w:rPr>
        <w:t xml:space="preserve"> </w:t>
      </w:r>
      <w:r w:rsidR="0062738A" w:rsidRPr="00CC5771">
        <w:rPr>
          <w:rFonts w:ascii="Times New Roman" w:hAnsi="Times New Roman" w:cs="Times New Roman"/>
          <w:lang w:val="en-CA"/>
        </w:rPr>
        <w:t xml:space="preserve">was only designed to apply to </w:t>
      </w:r>
      <w:r w:rsidR="005F5945" w:rsidRPr="00CC5771">
        <w:rPr>
          <w:rFonts w:ascii="Times New Roman" w:hAnsi="Times New Roman" w:cs="Times New Roman"/>
          <w:lang w:val="en-CA"/>
        </w:rPr>
        <w:t>trans</w:t>
      </w:r>
      <w:r w:rsidR="008E04FE" w:rsidRPr="00CC5771">
        <w:rPr>
          <w:rFonts w:ascii="Times New Roman" w:hAnsi="Times New Roman" w:cs="Times New Roman"/>
          <w:lang w:val="en-CA"/>
        </w:rPr>
        <w:t>gender</w:t>
      </w:r>
      <w:r w:rsidR="005F5945" w:rsidRPr="00CC5771">
        <w:rPr>
          <w:rFonts w:ascii="Times New Roman" w:hAnsi="Times New Roman" w:cs="Times New Roman"/>
          <w:lang w:val="en-CA"/>
        </w:rPr>
        <w:t xml:space="preserve"> and/or non</w:t>
      </w:r>
      <w:r w:rsidR="004C7B0B" w:rsidRPr="00CC5771">
        <w:rPr>
          <w:rFonts w:ascii="Times New Roman" w:hAnsi="Times New Roman" w:cs="Times New Roman"/>
          <w:lang w:val="en-CA"/>
        </w:rPr>
        <w:t xml:space="preserve">-binary people, the </w:t>
      </w:r>
      <w:r w:rsidR="005F5945" w:rsidRPr="00CC5771">
        <w:rPr>
          <w:rFonts w:ascii="Times New Roman" w:hAnsi="Times New Roman" w:cs="Times New Roman"/>
          <w:lang w:val="en-CA"/>
        </w:rPr>
        <w:t>Tribunal reasoned:</w:t>
      </w:r>
    </w:p>
    <w:p w14:paraId="0323745E" w14:textId="2B4A6CF6" w:rsidR="005F5945" w:rsidRPr="00CC5771" w:rsidRDefault="005F5945" w:rsidP="004D0F4E">
      <w:pPr>
        <w:spacing w:after="240" w:line="480" w:lineRule="auto"/>
        <w:ind w:left="720" w:right="720"/>
        <w:rPr>
          <w:rFonts w:ascii="Times New Roman" w:hAnsi="Times New Roman" w:cs="Times New Roman"/>
          <w:sz w:val="22"/>
          <w:lang w:val="en-CA"/>
        </w:rPr>
      </w:pPr>
      <w:r w:rsidRPr="00CC5771">
        <w:rPr>
          <w:rFonts w:ascii="Times New Roman" w:hAnsi="Times New Roman" w:cs="Times New Roman"/>
          <w:sz w:val="22"/>
          <w:lang w:val="en-CA"/>
        </w:rPr>
        <w:t>There is no dispute that the applicant is not a transgender or gender non-conforming person. Instead, he is a “cisgender” man, meaning he was born male and self-identifies as a man. Not only is the applicant not transgender or gender non-conforming, but he is seeking protection under the Code for engaging in gender conforming expression</w:t>
      </w:r>
      <w:r w:rsidR="00C94C7E">
        <w:rPr>
          <w:rFonts w:ascii="Times New Roman" w:hAnsi="Times New Roman" w:cs="Times New Roman"/>
          <w:sz w:val="22"/>
          <w:lang w:val="en-CA"/>
        </w:rPr>
        <w:t>—</w:t>
      </w:r>
      <w:r w:rsidRPr="00CC5771">
        <w:rPr>
          <w:rFonts w:ascii="Times New Roman" w:hAnsi="Times New Roman" w:cs="Times New Roman"/>
          <w:sz w:val="22"/>
          <w:lang w:val="en-CA"/>
        </w:rPr>
        <w:t xml:space="preserve">that is expression that may be viewed as stereotypically male. In my view, the ground of gender expression cannot reasonably be interpreted to protect the right of cisgender men to express themselves in ways that may be perceived to be stereotypically male. To interpret the ground of “gender expression” in this way is thoroughly inconsistent with, and would do violence to, the important purposes of </w:t>
      </w:r>
      <w:r w:rsidRPr="00461619">
        <w:rPr>
          <w:rFonts w:ascii="Times New Roman" w:hAnsi="Times New Roman" w:cs="Times New Roman"/>
          <w:i/>
          <w:sz w:val="22"/>
          <w:lang w:val="en-CA"/>
        </w:rPr>
        <w:t>Toby</w:t>
      </w:r>
      <w:r w:rsidR="00912EC7" w:rsidRPr="00461619">
        <w:rPr>
          <w:rFonts w:ascii="Times New Roman" w:hAnsi="Times New Roman" w:cs="Times New Roman"/>
          <w:i/>
          <w:sz w:val="22"/>
          <w:lang w:val="en-CA"/>
        </w:rPr>
        <w:t>’</w:t>
      </w:r>
      <w:r w:rsidRPr="00461619">
        <w:rPr>
          <w:rFonts w:ascii="Times New Roman" w:hAnsi="Times New Roman" w:cs="Times New Roman"/>
          <w:i/>
          <w:sz w:val="22"/>
          <w:lang w:val="en-CA"/>
        </w:rPr>
        <w:t>s Act</w:t>
      </w:r>
      <w:r w:rsidRPr="00CC5771">
        <w:rPr>
          <w:rFonts w:ascii="Times New Roman" w:hAnsi="Times New Roman" w:cs="Times New Roman"/>
          <w:sz w:val="22"/>
          <w:lang w:val="en-CA"/>
        </w:rPr>
        <w:t xml:space="preserve"> which added the ground of gender expression to the Code.</w:t>
      </w:r>
      <w:r w:rsidRPr="00CC5771">
        <w:rPr>
          <w:rStyle w:val="FootnoteReference"/>
          <w:rFonts w:ascii="Times New Roman" w:hAnsi="Times New Roman" w:cs="Times New Roman"/>
          <w:sz w:val="22"/>
          <w:lang w:val="en-CA"/>
        </w:rPr>
        <w:footnoteReference w:id="64"/>
      </w:r>
    </w:p>
    <w:p w14:paraId="143C19A0" w14:textId="4DB03835" w:rsidR="004C7B0B" w:rsidRPr="00CC5771" w:rsidRDefault="001422B5"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 xml:space="preserve">In </w:t>
      </w:r>
      <w:r w:rsidRPr="00CC5771">
        <w:rPr>
          <w:rFonts w:ascii="Times New Roman" w:hAnsi="Times New Roman" w:cs="Times New Roman"/>
          <w:i/>
          <w:lang w:val="en-CA"/>
        </w:rPr>
        <w:t>Barksey</w:t>
      </w:r>
      <w:r w:rsidRPr="00CC5771">
        <w:rPr>
          <w:rFonts w:ascii="Times New Roman" w:hAnsi="Times New Roman" w:cs="Times New Roman"/>
          <w:lang w:val="en-CA"/>
        </w:rPr>
        <w:t xml:space="preserve">, the Tribunal suggests that </w:t>
      </w:r>
      <w:r w:rsidR="00495CAE" w:rsidRPr="00CC5771">
        <w:rPr>
          <w:rFonts w:ascii="Times New Roman" w:hAnsi="Times New Roman" w:cs="Times New Roman"/>
          <w:lang w:val="en-CA"/>
        </w:rPr>
        <w:t>the legislature never designed the ground of “gender expression”</w:t>
      </w:r>
      <w:r w:rsidRPr="00CC5771">
        <w:rPr>
          <w:rFonts w:ascii="Times New Roman" w:hAnsi="Times New Roman" w:cs="Times New Roman"/>
          <w:lang w:val="en-CA"/>
        </w:rPr>
        <w:t xml:space="preserve"> </w:t>
      </w:r>
      <w:r w:rsidR="00495CAE" w:rsidRPr="00CC5771">
        <w:rPr>
          <w:rFonts w:ascii="Times New Roman" w:hAnsi="Times New Roman" w:cs="Times New Roman"/>
          <w:lang w:val="en-CA"/>
        </w:rPr>
        <w:t>to capture those engaged in</w:t>
      </w:r>
      <w:r w:rsidRPr="00CC5771">
        <w:rPr>
          <w:rFonts w:ascii="Times New Roman" w:hAnsi="Times New Roman" w:cs="Times New Roman"/>
          <w:lang w:val="en-CA"/>
        </w:rPr>
        <w:t xml:space="preserve"> so-called</w:t>
      </w:r>
      <w:r w:rsidR="00495CAE" w:rsidRPr="00CC5771">
        <w:rPr>
          <w:rFonts w:ascii="Times New Roman" w:hAnsi="Times New Roman" w:cs="Times New Roman"/>
          <w:lang w:val="en-CA"/>
        </w:rPr>
        <w:t xml:space="preserve"> “gender conforming expression</w:t>
      </w:r>
      <w:r w:rsidR="009C3F79">
        <w:rPr>
          <w:rFonts w:ascii="Times New Roman" w:hAnsi="Times New Roman" w:cs="Times New Roman"/>
          <w:lang w:val="en-CA"/>
        </w:rPr>
        <w:t>.”</w:t>
      </w:r>
      <w:r w:rsidR="00495CAE" w:rsidRPr="00CC5771">
        <w:rPr>
          <w:rFonts w:ascii="Times New Roman" w:hAnsi="Times New Roman" w:cs="Times New Roman"/>
          <w:lang w:val="en-CA"/>
        </w:rPr>
        <w:t xml:space="preserve"> </w:t>
      </w:r>
      <w:r w:rsidRPr="00CC5771">
        <w:rPr>
          <w:rFonts w:ascii="Times New Roman" w:hAnsi="Times New Roman" w:cs="Times New Roman"/>
          <w:lang w:val="en-CA"/>
        </w:rPr>
        <w:t xml:space="preserve">This claim, of course, begs the question of what constitutes “gender conforming” expression, and how it might be assessed in future cases. </w:t>
      </w:r>
      <w:r w:rsidR="00C84D39" w:rsidRPr="00CC5771">
        <w:rPr>
          <w:rFonts w:ascii="Times New Roman" w:hAnsi="Times New Roman" w:cs="Times New Roman"/>
          <w:lang w:val="en-CA"/>
        </w:rPr>
        <w:t>In</w:t>
      </w:r>
      <w:r w:rsidR="005F5945" w:rsidRPr="00CC5771">
        <w:rPr>
          <w:rFonts w:ascii="Times New Roman" w:hAnsi="Times New Roman" w:cs="Times New Roman"/>
          <w:lang w:val="en-CA"/>
        </w:rPr>
        <w:t xml:space="preserve"> both </w:t>
      </w:r>
      <w:r w:rsidR="00F52332" w:rsidRPr="00CC5771">
        <w:rPr>
          <w:rFonts w:ascii="Times New Roman" w:hAnsi="Times New Roman" w:cs="Times New Roman"/>
          <w:i/>
          <w:lang w:val="en-CA"/>
        </w:rPr>
        <w:t>Browne</w:t>
      </w:r>
      <w:r w:rsidR="00F52332" w:rsidRPr="00CC5771">
        <w:rPr>
          <w:rFonts w:ascii="Times New Roman" w:hAnsi="Times New Roman" w:cs="Times New Roman"/>
          <w:lang w:val="en-CA"/>
        </w:rPr>
        <w:t xml:space="preserve"> and </w:t>
      </w:r>
      <w:r w:rsidR="00F52332" w:rsidRPr="00CC5771">
        <w:rPr>
          <w:rFonts w:ascii="Times New Roman" w:hAnsi="Times New Roman" w:cs="Times New Roman"/>
          <w:i/>
          <w:lang w:val="en-CA"/>
        </w:rPr>
        <w:t>Barksey</w:t>
      </w:r>
      <w:r w:rsidR="005F5945" w:rsidRPr="00CC5771">
        <w:rPr>
          <w:rFonts w:ascii="Times New Roman" w:hAnsi="Times New Roman" w:cs="Times New Roman"/>
          <w:lang w:val="en-CA"/>
        </w:rPr>
        <w:t xml:space="preserve">, the “universalizing” </w:t>
      </w:r>
      <w:r w:rsidRPr="00CC5771">
        <w:rPr>
          <w:rFonts w:ascii="Times New Roman" w:hAnsi="Times New Roman" w:cs="Times New Roman"/>
          <w:lang w:val="en-CA"/>
        </w:rPr>
        <w:t>impulse</w:t>
      </w:r>
      <w:r w:rsidR="005F5945" w:rsidRPr="00CC5771">
        <w:rPr>
          <w:rFonts w:ascii="Times New Roman" w:hAnsi="Times New Roman" w:cs="Times New Roman"/>
          <w:lang w:val="en-CA"/>
        </w:rPr>
        <w:t xml:space="preserve"> of “gender expression</w:t>
      </w:r>
      <w:r w:rsidR="009C3F79">
        <w:rPr>
          <w:rFonts w:ascii="Times New Roman" w:hAnsi="Times New Roman" w:cs="Times New Roman"/>
          <w:lang w:val="en-CA"/>
        </w:rPr>
        <w:t>,”</w:t>
      </w:r>
      <w:r w:rsidRPr="00CC5771">
        <w:rPr>
          <w:rFonts w:ascii="Times New Roman" w:hAnsi="Times New Roman" w:cs="Times New Roman"/>
          <w:lang w:val="en-CA"/>
        </w:rPr>
        <w:t xml:space="preserve"> which </w:t>
      </w:r>
      <w:r w:rsidR="00CB732D" w:rsidRPr="00CC5771">
        <w:rPr>
          <w:rFonts w:ascii="Times New Roman" w:hAnsi="Times New Roman" w:cs="Times New Roman"/>
          <w:lang w:val="en-CA"/>
        </w:rPr>
        <w:t>suggests</w:t>
      </w:r>
      <w:r w:rsidRPr="00CC5771">
        <w:rPr>
          <w:rFonts w:ascii="Times New Roman" w:hAnsi="Times New Roman" w:cs="Times New Roman"/>
          <w:lang w:val="en-CA"/>
        </w:rPr>
        <w:t xml:space="preserve"> that everyone does gender in their everyday lives,</w:t>
      </w:r>
      <w:r w:rsidR="005F5945" w:rsidRPr="00CC5771">
        <w:rPr>
          <w:rFonts w:ascii="Times New Roman" w:hAnsi="Times New Roman" w:cs="Times New Roman"/>
          <w:lang w:val="en-CA"/>
        </w:rPr>
        <w:t xml:space="preserve"> </w:t>
      </w:r>
      <w:r w:rsidR="00495CAE" w:rsidRPr="00CC5771">
        <w:rPr>
          <w:rFonts w:ascii="Times New Roman" w:hAnsi="Times New Roman" w:cs="Times New Roman"/>
          <w:lang w:val="en-CA"/>
        </w:rPr>
        <w:t>has</w:t>
      </w:r>
      <w:r w:rsidR="005F5945" w:rsidRPr="00CC5771">
        <w:rPr>
          <w:rFonts w:ascii="Times New Roman" w:hAnsi="Times New Roman" w:cs="Times New Roman"/>
          <w:lang w:val="en-CA"/>
        </w:rPr>
        <w:t xml:space="preserve"> been abandoned in favour of a “minoritizing” approach</w:t>
      </w:r>
      <w:r w:rsidRPr="00CC5771">
        <w:rPr>
          <w:rFonts w:ascii="Times New Roman" w:hAnsi="Times New Roman" w:cs="Times New Roman"/>
          <w:lang w:val="en-CA"/>
        </w:rPr>
        <w:t>.</w:t>
      </w:r>
      <w:r w:rsidR="00D87ADE" w:rsidRPr="00CC5771">
        <w:rPr>
          <w:rStyle w:val="FootnoteReference"/>
          <w:rFonts w:ascii="Times New Roman" w:hAnsi="Times New Roman" w:cs="Times New Roman"/>
          <w:lang w:val="en-CA"/>
        </w:rPr>
        <w:footnoteReference w:id="65"/>
      </w:r>
      <w:r w:rsidRPr="00CC5771">
        <w:rPr>
          <w:rFonts w:ascii="Times New Roman" w:hAnsi="Times New Roman" w:cs="Times New Roman"/>
          <w:lang w:val="en-CA"/>
        </w:rPr>
        <w:t xml:space="preserve"> The “minoritizing” </w:t>
      </w:r>
      <w:r w:rsidR="00F52332" w:rsidRPr="00CC5771">
        <w:rPr>
          <w:rFonts w:ascii="Times New Roman" w:hAnsi="Times New Roman" w:cs="Times New Roman"/>
          <w:lang w:val="en-CA"/>
        </w:rPr>
        <w:t xml:space="preserve">approach suggests </w:t>
      </w:r>
      <w:r w:rsidR="005F5945" w:rsidRPr="00CC5771">
        <w:rPr>
          <w:rFonts w:ascii="Times New Roman" w:hAnsi="Times New Roman" w:cs="Times New Roman"/>
          <w:lang w:val="en-CA"/>
        </w:rPr>
        <w:t>that the</w:t>
      </w:r>
      <w:r w:rsidR="00F52332" w:rsidRPr="00CC5771">
        <w:rPr>
          <w:rFonts w:ascii="Times New Roman" w:hAnsi="Times New Roman" w:cs="Times New Roman"/>
          <w:lang w:val="en-CA"/>
        </w:rPr>
        <w:t xml:space="preserve"> newly-minted </w:t>
      </w:r>
      <w:r w:rsidR="005F5945" w:rsidRPr="00CC5771">
        <w:rPr>
          <w:rFonts w:ascii="Times New Roman" w:hAnsi="Times New Roman" w:cs="Times New Roman"/>
          <w:lang w:val="en-CA"/>
        </w:rPr>
        <w:t xml:space="preserve">ground is only designed to capture a small number of people who </w:t>
      </w:r>
      <w:r w:rsidR="00912EC7">
        <w:rPr>
          <w:rFonts w:ascii="Times New Roman" w:hAnsi="Times New Roman" w:cs="Times New Roman"/>
          <w:lang w:val="en-CA"/>
        </w:rPr>
        <w:t>‘</w:t>
      </w:r>
      <w:r w:rsidR="005F5945" w:rsidRPr="00CC5771">
        <w:rPr>
          <w:rFonts w:ascii="Times New Roman" w:hAnsi="Times New Roman" w:cs="Times New Roman"/>
          <w:lang w:val="en-CA"/>
        </w:rPr>
        <w:t>real</w:t>
      </w:r>
      <w:r w:rsidRPr="00CC5771">
        <w:rPr>
          <w:rFonts w:ascii="Times New Roman" w:hAnsi="Times New Roman" w:cs="Times New Roman"/>
          <w:lang w:val="en-CA"/>
        </w:rPr>
        <w:t>ly are</w:t>
      </w:r>
      <w:r w:rsidR="00912EC7">
        <w:rPr>
          <w:rFonts w:ascii="Times New Roman" w:hAnsi="Times New Roman" w:cs="Times New Roman"/>
          <w:lang w:val="en-CA"/>
        </w:rPr>
        <w:t>’</w:t>
      </w:r>
      <w:r w:rsidRPr="00CC5771">
        <w:rPr>
          <w:rFonts w:ascii="Times New Roman" w:hAnsi="Times New Roman" w:cs="Times New Roman"/>
          <w:lang w:val="en-CA"/>
        </w:rPr>
        <w:t xml:space="preserve"> trans</w:t>
      </w:r>
      <w:r w:rsidR="008E04FE" w:rsidRPr="00CC5771">
        <w:rPr>
          <w:rFonts w:ascii="Times New Roman" w:hAnsi="Times New Roman" w:cs="Times New Roman"/>
          <w:lang w:val="en-CA"/>
        </w:rPr>
        <w:t>gender</w:t>
      </w:r>
      <w:r w:rsidRPr="00CC5771">
        <w:rPr>
          <w:rFonts w:ascii="Times New Roman" w:hAnsi="Times New Roman" w:cs="Times New Roman"/>
          <w:lang w:val="en-CA"/>
        </w:rPr>
        <w:t xml:space="preserve"> and/or non-binary,</w:t>
      </w:r>
      <w:r w:rsidR="000E46D4" w:rsidRPr="00CC5771">
        <w:rPr>
          <w:rFonts w:ascii="Times New Roman" w:hAnsi="Times New Roman" w:cs="Times New Roman"/>
          <w:lang w:val="en-CA"/>
        </w:rPr>
        <w:t xml:space="preserve"> or</w:t>
      </w:r>
      <w:r w:rsidR="00C94C7E">
        <w:rPr>
          <w:rFonts w:ascii="Times New Roman" w:hAnsi="Times New Roman" w:cs="Times New Roman"/>
          <w:lang w:val="en-CA"/>
        </w:rPr>
        <w:t>,</w:t>
      </w:r>
      <w:r w:rsidR="000E46D4" w:rsidRPr="00CC5771">
        <w:rPr>
          <w:rFonts w:ascii="Times New Roman" w:hAnsi="Times New Roman" w:cs="Times New Roman"/>
          <w:lang w:val="en-CA"/>
        </w:rPr>
        <w:t xml:space="preserve"> more curiously, gender non-conforming,</w:t>
      </w:r>
      <w:r w:rsidRPr="00CC5771">
        <w:rPr>
          <w:rFonts w:ascii="Times New Roman" w:hAnsi="Times New Roman" w:cs="Times New Roman"/>
          <w:lang w:val="en-CA"/>
        </w:rPr>
        <w:t xml:space="preserve"> and that “gender </w:t>
      </w:r>
      <w:r w:rsidRPr="00CC5771">
        <w:rPr>
          <w:rFonts w:ascii="Times New Roman" w:hAnsi="Times New Roman" w:cs="Times New Roman"/>
          <w:lang w:val="en-CA"/>
        </w:rPr>
        <w:lastRenderedPageBreak/>
        <w:t>conforming” people are excluded from this protected ground.</w:t>
      </w:r>
      <w:r w:rsidR="00F52332" w:rsidRPr="00CC5771">
        <w:rPr>
          <w:rStyle w:val="FootnoteReference"/>
          <w:rFonts w:ascii="Times New Roman" w:hAnsi="Times New Roman" w:cs="Times New Roman"/>
          <w:lang w:val="en-CA"/>
        </w:rPr>
        <w:footnoteReference w:id="66"/>
      </w:r>
      <w:r w:rsidR="00F52332" w:rsidRPr="00CC5771">
        <w:rPr>
          <w:rFonts w:ascii="Times New Roman" w:hAnsi="Times New Roman" w:cs="Times New Roman"/>
          <w:lang w:val="en-CA"/>
        </w:rPr>
        <w:t xml:space="preserve"> </w:t>
      </w:r>
      <w:r w:rsidR="000E46D4" w:rsidRPr="00CC5771">
        <w:rPr>
          <w:rFonts w:ascii="Times New Roman" w:hAnsi="Times New Roman" w:cs="Times New Roman"/>
          <w:lang w:val="en-CA"/>
        </w:rPr>
        <w:t xml:space="preserve">Gender </w:t>
      </w:r>
      <w:r w:rsidR="000E46D4" w:rsidRPr="00CC5771">
        <w:rPr>
          <w:rFonts w:ascii="Times New Roman" w:hAnsi="Times New Roman" w:cs="Times New Roman"/>
          <w:i/>
          <w:lang w:val="en-CA"/>
        </w:rPr>
        <w:t>non</w:t>
      </w:r>
      <w:r w:rsidR="000E46D4" w:rsidRPr="00CC5771">
        <w:rPr>
          <w:rFonts w:ascii="Times New Roman" w:hAnsi="Times New Roman" w:cs="Times New Roman"/>
          <w:lang w:val="en-CA"/>
        </w:rPr>
        <w:t xml:space="preserve">-conforming people, in common usage, are not necessarily </w:t>
      </w:r>
      <w:r w:rsidR="00CF23FB" w:rsidRPr="00CC5771">
        <w:rPr>
          <w:rFonts w:ascii="Times New Roman" w:hAnsi="Times New Roman" w:cs="Times New Roman"/>
          <w:lang w:val="en-CA"/>
        </w:rPr>
        <w:t>trans</w:t>
      </w:r>
      <w:r w:rsidR="008E04FE" w:rsidRPr="00CC5771">
        <w:rPr>
          <w:rFonts w:ascii="Times New Roman" w:hAnsi="Times New Roman" w:cs="Times New Roman"/>
          <w:lang w:val="en-CA"/>
        </w:rPr>
        <w:t>gender</w:t>
      </w:r>
      <w:r w:rsidR="00CF23FB" w:rsidRPr="00CC5771">
        <w:rPr>
          <w:rFonts w:ascii="Times New Roman" w:hAnsi="Times New Roman" w:cs="Times New Roman"/>
          <w:lang w:val="en-CA"/>
        </w:rPr>
        <w:t xml:space="preserve"> and/or non-binary</w:t>
      </w:r>
      <w:r w:rsidR="000E46D4" w:rsidRPr="00CC5771">
        <w:rPr>
          <w:rFonts w:ascii="Times New Roman" w:hAnsi="Times New Roman" w:cs="Times New Roman"/>
          <w:lang w:val="en-CA"/>
        </w:rPr>
        <w:t>.</w:t>
      </w:r>
    </w:p>
    <w:p w14:paraId="4DEE0FD5" w14:textId="6A7583DF" w:rsidR="004F0F68" w:rsidRPr="00CC5771" w:rsidRDefault="000C4E90"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The</w:t>
      </w:r>
      <w:r w:rsidR="000638BD" w:rsidRPr="00CC5771">
        <w:rPr>
          <w:rFonts w:ascii="Times New Roman" w:hAnsi="Times New Roman" w:cs="Times New Roman"/>
          <w:lang w:val="en-CA"/>
        </w:rPr>
        <w:t xml:space="preserve"> Tribunal</w:t>
      </w:r>
      <w:r w:rsidR="00912EC7">
        <w:rPr>
          <w:rFonts w:ascii="Times New Roman" w:hAnsi="Times New Roman" w:cs="Times New Roman"/>
          <w:lang w:val="en-CA"/>
        </w:rPr>
        <w:t>’</w:t>
      </w:r>
      <w:r w:rsidR="000638BD" w:rsidRPr="00CC5771">
        <w:rPr>
          <w:rFonts w:ascii="Times New Roman" w:hAnsi="Times New Roman" w:cs="Times New Roman"/>
          <w:lang w:val="en-CA"/>
        </w:rPr>
        <w:t>s</w:t>
      </w:r>
      <w:r w:rsidR="00F52332" w:rsidRPr="00CC5771">
        <w:rPr>
          <w:rFonts w:ascii="Times New Roman" w:hAnsi="Times New Roman" w:cs="Times New Roman"/>
          <w:lang w:val="en-CA"/>
        </w:rPr>
        <w:t xml:space="preserve"> reasoning in both cases</w:t>
      </w:r>
      <w:r w:rsidR="005F5945" w:rsidRPr="00CC5771">
        <w:rPr>
          <w:rFonts w:ascii="Times New Roman" w:hAnsi="Times New Roman" w:cs="Times New Roman"/>
          <w:lang w:val="en-CA"/>
        </w:rPr>
        <w:t xml:space="preserve"> </w:t>
      </w:r>
      <w:r w:rsidR="000555DF" w:rsidRPr="00CC5771">
        <w:rPr>
          <w:rFonts w:ascii="Times New Roman" w:hAnsi="Times New Roman" w:cs="Times New Roman"/>
          <w:lang w:val="en-CA"/>
        </w:rPr>
        <w:t xml:space="preserve">is troublesome for at least </w:t>
      </w:r>
      <w:r w:rsidR="00C700C4" w:rsidRPr="00CC5771">
        <w:rPr>
          <w:rFonts w:ascii="Times New Roman" w:hAnsi="Times New Roman" w:cs="Times New Roman"/>
          <w:lang w:val="en-CA"/>
        </w:rPr>
        <w:t xml:space="preserve">four </w:t>
      </w:r>
      <w:r w:rsidR="000555DF" w:rsidRPr="00CC5771">
        <w:rPr>
          <w:rFonts w:ascii="Times New Roman" w:hAnsi="Times New Roman" w:cs="Times New Roman"/>
          <w:lang w:val="en-CA"/>
        </w:rPr>
        <w:t xml:space="preserve">reasons. </w:t>
      </w:r>
      <w:r w:rsidR="00C97A9C" w:rsidRPr="00CC5771">
        <w:rPr>
          <w:rFonts w:ascii="Times New Roman" w:hAnsi="Times New Roman" w:cs="Times New Roman"/>
          <w:lang w:val="en-CA"/>
        </w:rPr>
        <w:t>First, there is an expansive</w:t>
      </w:r>
      <w:r w:rsidR="000555DF" w:rsidRPr="00CC5771">
        <w:rPr>
          <w:rFonts w:ascii="Times New Roman" w:hAnsi="Times New Roman" w:cs="Times New Roman"/>
          <w:lang w:val="en-CA"/>
        </w:rPr>
        <w:t xml:space="preserve"> line of human rights caselaw to suggest that rights-conferring instruments ought to be given a large and liberal interpretation.</w:t>
      </w:r>
      <w:r w:rsidR="000555DF" w:rsidRPr="00CC5771">
        <w:rPr>
          <w:rStyle w:val="FootnoteReference"/>
          <w:rFonts w:ascii="Times New Roman" w:hAnsi="Times New Roman" w:cs="Times New Roman"/>
          <w:lang w:val="en-CA"/>
        </w:rPr>
        <w:footnoteReference w:id="67"/>
      </w:r>
      <w:r w:rsidR="00A803F9" w:rsidRPr="00CC5771">
        <w:rPr>
          <w:rFonts w:ascii="Times New Roman" w:hAnsi="Times New Roman" w:cs="Times New Roman"/>
          <w:lang w:val="en-CA"/>
        </w:rPr>
        <w:t xml:space="preserve"> </w:t>
      </w:r>
      <w:r w:rsidR="003B20CF" w:rsidRPr="00CC5771">
        <w:rPr>
          <w:rFonts w:ascii="Times New Roman" w:hAnsi="Times New Roman" w:cs="Times New Roman"/>
          <w:lang w:val="en-CA"/>
        </w:rPr>
        <w:t xml:space="preserve">It seems difficult to see how, in both </w:t>
      </w:r>
      <w:r w:rsidR="003B20CF" w:rsidRPr="00CC5771">
        <w:rPr>
          <w:rFonts w:ascii="Times New Roman" w:hAnsi="Times New Roman" w:cs="Times New Roman"/>
          <w:i/>
          <w:lang w:val="en-CA"/>
        </w:rPr>
        <w:t>Browne</w:t>
      </w:r>
      <w:r w:rsidR="003B20CF" w:rsidRPr="00CC5771">
        <w:rPr>
          <w:rFonts w:ascii="Times New Roman" w:hAnsi="Times New Roman" w:cs="Times New Roman"/>
          <w:lang w:val="en-CA"/>
        </w:rPr>
        <w:t xml:space="preserve"> and </w:t>
      </w:r>
      <w:r w:rsidR="003B20CF" w:rsidRPr="00CC5771">
        <w:rPr>
          <w:rFonts w:ascii="Times New Roman" w:hAnsi="Times New Roman" w:cs="Times New Roman"/>
          <w:i/>
          <w:lang w:val="en-CA"/>
        </w:rPr>
        <w:t>Banksey</w:t>
      </w:r>
      <w:r w:rsidR="003B20CF" w:rsidRPr="00CC5771">
        <w:rPr>
          <w:rFonts w:ascii="Times New Roman" w:hAnsi="Times New Roman" w:cs="Times New Roman"/>
          <w:lang w:val="en-CA"/>
        </w:rPr>
        <w:t xml:space="preserve">, the Tribunal has adhered to this </w:t>
      </w:r>
      <w:r w:rsidR="00B3516B" w:rsidRPr="00CC5771">
        <w:rPr>
          <w:rFonts w:ascii="Times New Roman" w:hAnsi="Times New Roman" w:cs="Times New Roman"/>
          <w:lang w:val="en-CA"/>
        </w:rPr>
        <w:t>legal</w:t>
      </w:r>
      <w:r w:rsidR="003B20CF" w:rsidRPr="00CC5771">
        <w:rPr>
          <w:rFonts w:ascii="Times New Roman" w:hAnsi="Times New Roman" w:cs="Times New Roman"/>
          <w:lang w:val="en-CA"/>
        </w:rPr>
        <w:t xml:space="preserve"> principle. </w:t>
      </w:r>
    </w:p>
    <w:p w14:paraId="5F83B19B" w14:textId="0EE1090E" w:rsidR="00C700C4" w:rsidRPr="00CC5771" w:rsidRDefault="00A803F9"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 xml:space="preserve">Second, the OHRC policy constructs “gender expression” broadly, </w:t>
      </w:r>
      <w:r w:rsidR="00C97A9C" w:rsidRPr="00CC5771">
        <w:rPr>
          <w:rFonts w:ascii="Times New Roman" w:hAnsi="Times New Roman" w:cs="Times New Roman"/>
          <w:lang w:val="en-CA"/>
        </w:rPr>
        <w:t>explicitly</w:t>
      </w:r>
      <w:r w:rsidRPr="00CC5771">
        <w:rPr>
          <w:rFonts w:ascii="Times New Roman" w:hAnsi="Times New Roman" w:cs="Times New Roman"/>
          <w:lang w:val="en-CA"/>
        </w:rPr>
        <w:t xml:space="preserve"> noting that it is designed to capture “how a person publicly expresses or presents their gender</w:t>
      </w:r>
      <w:r w:rsidR="009C3F79">
        <w:rPr>
          <w:rFonts w:ascii="Times New Roman" w:hAnsi="Times New Roman" w:cs="Times New Roman"/>
          <w:lang w:val="en-CA"/>
        </w:rPr>
        <w:t>,”</w:t>
      </w:r>
      <w:r w:rsidRPr="00CC5771">
        <w:rPr>
          <w:rFonts w:ascii="Times New Roman" w:hAnsi="Times New Roman" w:cs="Times New Roman"/>
          <w:lang w:val="en-CA"/>
        </w:rPr>
        <w:t xml:space="preserve"> including “behaviour and outward appearance such as dress, hair, make-up, body language and voice</w:t>
      </w:r>
      <w:r w:rsidR="009C3F79">
        <w:rPr>
          <w:rFonts w:ascii="Times New Roman" w:hAnsi="Times New Roman" w:cs="Times New Roman"/>
          <w:lang w:val="en-CA"/>
        </w:rPr>
        <w:t>.”</w:t>
      </w:r>
      <w:r w:rsidRPr="00CC5771">
        <w:rPr>
          <w:rStyle w:val="FootnoteReference"/>
          <w:rFonts w:ascii="Times New Roman" w:hAnsi="Times New Roman" w:cs="Times New Roman"/>
          <w:lang w:val="en-CA"/>
        </w:rPr>
        <w:footnoteReference w:id="68"/>
      </w:r>
      <w:r w:rsidRPr="00CC5771">
        <w:rPr>
          <w:rFonts w:ascii="Times New Roman" w:hAnsi="Times New Roman" w:cs="Times New Roman"/>
          <w:lang w:val="en-CA"/>
        </w:rPr>
        <w:t xml:space="preserve"> Indeed, </w:t>
      </w:r>
      <w:r w:rsidR="005F5945" w:rsidRPr="00CC5771">
        <w:rPr>
          <w:rFonts w:ascii="Times New Roman" w:hAnsi="Times New Roman" w:cs="Times New Roman"/>
          <w:lang w:val="en-CA"/>
        </w:rPr>
        <w:t xml:space="preserve">in </w:t>
      </w:r>
      <w:r w:rsidR="005F5945" w:rsidRPr="00CC5771">
        <w:rPr>
          <w:rFonts w:ascii="Times New Roman" w:hAnsi="Times New Roman" w:cs="Times New Roman"/>
          <w:i/>
          <w:lang w:val="en-CA"/>
        </w:rPr>
        <w:t>Browne</w:t>
      </w:r>
      <w:r w:rsidR="005F5945" w:rsidRPr="00CC5771">
        <w:rPr>
          <w:rFonts w:ascii="Times New Roman" w:hAnsi="Times New Roman" w:cs="Times New Roman"/>
          <w:lang w:val="en-CA"/>
        </w:rPr>
        <w:t xml:space="preserve">, </w:t>
      </w:r>
      <w:r w:rsidRPr="00CC5771">
        <w:rPr>
          <w:rFonts w:ascii="Times New Roman" w:hAnsi="Times New Roman" w:cs="Times New Roman"/>
          <w:lang w:val="en-CA"/>
        </w:rPr>
        <w:t xml:space="preserve">the Tribunal admits that passages from the OHRC </w:t>
      </w:r>
      <w:r w:rsidR="00C97A9C" w:rsidRPr="00CC5771">
        <w:rPr>
          <w:rFonts w:ascii="Times New Roman" w:hAnsi="Times New Roman" w:cs="Times New Roman"/>
          <w:lang w:val="en-CA"/>
        </w:rPr>
        <w:t xml:space="preserve">underline the </w:t>
      </w:r>
      <w:r w:rsidRPr="00CC5771">
        <w:rPr>
          <w:rFonts w:ascii="Times New Roman" w:hAnsi="Times New Roman" w:cs="Times New Roman"/>
          <w:lang w:val="en-CA"/>
        </w:rPr>
        <w:t>universalizing</w:t>
      </w:r>
      <w:r w:rsidR="001422B5" w:rsidRPr="00CC5771">
        <w:rPr>
          <w:rFonts w:ascii="Times New Roman" w:hAnsi="Times New Roman" w:cs="Times New Roman"/>
          <w:lang w:val="en-CA"/>
        </w:rPr>
        <w:t>, performative</w:t>
      </w:r>
      <w:r w:rsidRPr="00CC5771">
        <w:rPr>
          <w:rFonts w:ascii="Times New Roman" w:hAnsi="Times New Roman" w:cs="Times New Roman"/>
          <w:lang w:val="en-CA"/>
        </w:rPr>
        <w:t xml:space="preserve"> impulses of “gender expression</w:t>
      </w:r>
      <w:r w:rsidR="009C3F79">
        <w:rPr>
          <w:rFonts w:ascii="Times New Roman" w:hAnsi="Times New Roman" w:cs="Times New Roman"/>
          <w:lang w:val="en-CA"/>
        </w:rPr>
        <w:t>,”</w:t>
      </w:r>
      <w:r w:rsidRPr="00CC5771">
        <w:rPr>
          <w:rFonts w:ascii="Times New Roman" w:hAnsi="Times New Roman" w:cs="Times New Roman"/>
          <w:lang w:val="en-CA"/>
        </w:rPr>
        <w:t xml:space="preserve"> such th</w:t>
      </w:r>
      <w:r w:rsidR="006A7A49" w:rsidRPr="00CC5771">
        <w:rPr>
          <w:rFonts w:ascii="Times New Roman" w:hAnsi="Times New Roman" w:cs="Times New Roman"/>
          <w:lang w:val="en-CA"/>
        </w:rPr>
        <w:t>at protections may extend beyond</w:t>
      </w:r>
      <w:r w:rsidRPr="00CC5771">
        <w:rPr>
          <w:rFonts w:ascii="Times New Roman" w:hAnsi="Times New Roman" w:cs="Times New Roman"/>
          <w:lang w:val="en-CA"/>
        </w:rPr>
        <w:t xml:space="preserve"> people who </w:t>
      </w:r>
      <w:r w:rsidR="008E04FE" w:rsidRPr="00CC5771">
        <w:rPr>
          <w:rFonts w:ascii="Times New Roman" w:hAnsi="Times New Roman" w:cs="Times New Roman"/>
          <w:lang w:val="en-CA"/>
        </w:rPr>
        <w:t>are</w:t>
      </w:r>
      <w:r w:rsidR="005F5945" w:rsidRPr="00CC5771">
        <w:rPr>
          <w:rFonts w:ascii="Times New Roman" w:hAnsi="Times New Roman" w:cs="Times New Roman"/>
          <w:lang w:val="en-CA"/>
        </w:rPr>
        <w:t xml:space="preserve"> trans</w:t>
      </w:r>
      <w:r w:rsidR="008E04FE" w:rsidRPr="00CC5771">
        <w:rPr>
          <w:rFonts w:ascii="Times New Roman" w:hAnsi="Times New Roman" w:cs="Times New Roman"/>
          <w:lang w:val="en-CA"/>
        </w:rPr>
        <w:t>gender</w:t>
      </w:r>
      <w:r w:rsidR="005F5945" w:rsidRPr="00CC5771">
        <w:rPr>
          <w:rFonts w:ascii="Times New Roman" w:hAnsi="Times New Roman" w:cs="Times New Roman"/>
          <w:lang w:val="en-CA"/>
        </w:rPr>
        <w:t xml:space="preserve"> and/or non-binary. The Tribunal explains</w:t>
      </w:r>
      <w:r w:rsidRPr="00CC5771">
        <w:rPr>
          <w:rFonts w:ascii="Times New Roman" w:hAnsi="Times New Roman" w:cs="Times New Roman"/>
          <w:lang w:val="en-CA"/>
        </w:rPr>
        <w:t>: “While the vast majority of the Commission</w:t>
      </w:r>
      <w:r w:rsidR="00912EC7">
        <w:rPr>
          <w:rFonts w:ascii="Times New Roman" w:hAnsi="Times New Roman" w:cs="Times New Roman"/>
          <w:lang w:val="en-CA"/>
        </w:rPr>
        <w:t>’</w:t>
      </w:r>
      <w:r w:rsidRPr="00CC5771">
        <w:rPr>
          <w:rFonts w:ascii="Times New Roman" w:hAnsi="Times New Roman" w:cs="Times New Roman"/>
          <w:lang w:val="en-CA"/>
        </w:rPr>
        <w:t>s Policy is clearly directed at the rights afforded to transgendered</w:t>
      </w:r>
      <w:r w:rsidR="006A7A49" w:rsidRPr="00CC5771">
        <w:rPr>
          <w:rFonts w:ascii="Times New Roman" w:hAnsi="Times New Roman" w:cs="Times New Roman"/>
          <w:lang w:val="en-CA"/>
        </w:rPr>
        <w:t xml:space="preserve"> [sic]</w:t>
      </w:r>
      <w:r w:rsidRPr="00CC5771">
        <w:rPr>
          <w:rFonts w:ascii="Times New Roman" w:hAnsi="Times New Roman" w:cs="Times New Roman"/>
          <w:lang w:val="en-CA"/>
        </w:rPr>
        <w:t xml:space="preserve"> and gender non-conforming individuals, there are some specific suggestions in</w:t>
      </w:r>
      <w:r w:rsidR="006A7A49" w:rsidRPr="00CC5771">
        <w:rPr>
          <w:rFonts w:ascii="Times New Roman" w:hAnsi="Times New Roman" w:cs="Times New Roman"/>
          <w:lang w:val="en-CA"/>
        </w:rPr>
        <w:t xml:space="preserve"> the Policy that the ground of </w:t>
      </w:r>
      <w:r w:rsidR="00912EC7">
        <w:rPr>
          <w:rFonts w:ascii="Times New Roman" w:hAnsi="Times New Roman" w:cs="Times New Roman"/>
          <w:lang w:val="en-CA"/>
        </w:rPr>
        <w:t>‘</w:t>
      </w:r>
      <w:r w:rsidR="006A7A49" w:rsidRPr="00CC5771">
        <w:rPr>
          <w:rFonts w:ascii="Times New Roman" w:hAnsi="Times New Roman" w:cs="Times New Roman"/>
          <w:lang w:val="en-CA"/>
        </w:rPr>
        <w:t>gender expression</w:t>
      </w:r>
      <w:r w:rsidR="00912EC7">
        <w:rPr>
          <w:rFonts w:ascii="Times New Roman" w:hAnsi="Times New Roman" w:cs="Times New Roman"/>
          <w:lang w:val="en-CA"/>
        </w:rPr>
        <w:t>’</w:t>
      </w:r>
      <w:r w:rsidRPr="00CC5771">
        <w:rPr>
          <w:rFonts w:ascii="Times New Roman" w:hAnsi="Times New Roman" w:cs="Times New Roman"/>
          <w:lang w:val="en-CA"/>
        </w:rPr>
        <w:t xml:space="preserve"> may extend beyond this community.”</w:t>
      </w:r>
      <w:r w:rsidRPr="00CC5771">
        <w:rPr>
          <w:rStyle w:val="FootnoteReference"/>
          <w:rFonts w:ascii="Times New Roman" w:hAnsi="Times New Roman" w:cs="Times New Roman"/>
          <w:lang w:val="en-CA"/>
        </w:rPr>
        <w:footnoteReference w:id="69"/>
      </w:r>
    </w:p>
    <w:p w14:paraId="45AE5735" w14:textId="2D7857F5" w:rsidR="00C700C4" w:rsidRPr="00CC5771" w:rsidRDefault="00C700C4"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Third, we</w:t>
      </w:r>
      <w:r w:rsidR="004F0F68" w:rsidRPr="00CC5771">
        <w:rPr>
          <w:rFonts w:ascii="Times New Roman" w:hAnsi="Times New Roman" w:cs="Times New Roman"/>
          <w:lang w:val="en-CA"/>
        </w:rPr>
        <w:t xml:space="preserve"> </w:t>
      </w:r>
      <w:r w:rsidRPr="00CC5771">
        <w:rPr>
          <w:rFonts w:ascii="Times New Roman" w:hAnsi="Times New Roman" w:cs="Times New Roman"/>
          <w:lang w:val="en-CA"/>
        </w:rPr>
        <w:t>disagree with the Tribunal</w:t>
      </w:r>
      <w:r w:rsidR="00912EC7">
        <w:rPr>
          <w:rFonts w:ascii="Times New Roman" w:hAnsi="Times New Roman" w:cs="Times New Roman"/>
          <w:lang w:val="en-CA"/>
        </w:rPr>
        <w:t>’</w:t>
      </w:r>
      <w:r w:rsidRPr="00CC5771">
        <w:rPr>
          <w:rFonts w:ascii="Times New Roman" w:hAnsi="Times New Roman" w:cs="Times New Roman"/>
          <w:lang w:val="en-CA"/>
        </w:rPr>
        <w:t xml:space="preserve">s assertion in </w:t>
      </w:r>
      <w:r w:rsidRPr="00CC5771">
        <w:rPr>
          <w:rFonts w:ascii="Times New Roman" w:hAnsi="Times New Roman" w:cs="Times New Roman"/>
          <w:i/>
          <w:lang w:val="en-CA"/>
        </w:rPr>
        <w:t>Browne</w:t>
      </w:r>
      <w:r w:rsidRPr="00CC5771">
        <w:rPr>
          <w:rFonts w:ascii="Times New Roman" w:hAnsi="Times New Roman" w:cs="Times New Roman"/>
          <w:lang w:val="en-CA"/>
        </w:rPr>
        <w:t xml:space="preserve"> and </w:t>
      </w:r>
      <w:r w:rsidRPr="00CC5771">
        <w:rPr>
          <w:rFonts w:ascii="Times New Roman" w:hAnsi="Times New Roman" w:cs="Times New Roman"/>
          <w:i/>
          <w:lang w:val="en-CA"/>
        </w:rPr>
        <w:t>Barksey</w:t>
      </w:r>
      <w:r w:rsidRPr="00CC5771">
        <w:rPr>
          <w:rFonts w:ascii="Times New Roman" w:hAnsi="Times New Roman" w:cs="Times New Roman"/>
          <w:lang w:val="en-CA"/>
        </w:rPr>
        <w:t xml:space="preserve"> that “gender expression” is only capable of applying to trans</w:t>
      </w:r>
      <w:r w:rsidR="008E04FE" w:rsidRPr="00CC5771">
        <w:rPr>
          <w:rFonts w:ascii="Times New Roman" w:hAnsi="Times New Roman" w:cs="Times New Roman"/>
          <w:lang w:val="en-CA"/>
        </w:rPr>
        <w:t>gender</w:t>
      </w:r>
      <w:r w:rsidRPr="00CC5771">
        <w:rPr>
          <w:rFonts w:ascii="Times New Roman" w:hAnsi="Times New Roman" w:cs="Times New Roman"/>
          <w:lang w:val="en-CA"/>
        </w:rPr>
        <w:t xml:space="preserve"> and/or non-binary people. We start from the position that </w:t>
      </w:r>
      <w:r w:rsidRPr="00CC5771">
        <w:rPr>
          <w:rFonts w:ascii="Times New Roman" w:hAnsi="Times New Roman" w:cs="Times New Roman"/>
          <w:i/>
          <w:iCs/>
          <w:lang w:val="en-CA"/>
        </w:rPr>
        <w:t>all people</w:t>
      </w:r>
      <w:r w:rsidRPr="00CC5771">
        <w:rPr>
          <w:rFonts w:ascii="Times New Roman" w:hAnsi="Times New Roman" w:cs="Times New Roman"/>
          <w:lang w:val="en-CA"/>
        </w:rPr>
        <w:t xml:space="preserve"> have </w:t>
      </w:r>
      <w:r w:rsidR="00A32603" w:rsidRPr="00CC5771">
        <w:rPr>
          <w:rFonts w:ascii="Times New Roman" w:hAnsi="Times New Roman" w:cs="Times New Roman"/>
          <w:lang w:val="en-CA"/>
        </w:rPr>
        <w:t>a</w:t>
      </w:r>
      <w:r w:rsidRPr="00CC5771">
        <w:rPr>
          <w:rFonts w:ascii="Times New Roman" w:hAnsi="Times New Roman" w:cs="Times New Roman"/>
          <w:lang w:val="en-CA"/>
        </w:rPr>
        <w:t xml:space="preserve"> “gender expression</w:t>
      </w:r>
      <w:r w:rsidR="009C3F79">
        <w:rPr>
          <w:rFonts w:ascii="Times New Roman" w:hAnsi="Times New Roman" w:cs="Times New Roman"/>
          <w:lang w:val="en-CA"/>
        </w:rPr>
        <w:t>,”</w:t>
      </w:r>
      <w:r w:rsidRPr="00CC5771">
        <w:rPr>
          <w:rFonts w:ascii="Times New Roman" w:hAnsi="Times New Roman" w:cs="Times New Roman"/>
          <w:lang w:val="en-CA"/>
        </w:rPr>
        <w:t xml:space="preserve"> and are therefore protected from discrimination under </w:t>
      </w:r>
      <w:r w:rsidRPr="00CC5771">
        <w:rPr>
          <w:rFonts w:ascii="Times New Roman" w:hAnsi="Times New Roman" w:cs="Times New Roman"/>
          <w:lang w:val="en-CA"/>
        </w:rPr>
        <w:lastRenderedPageBreak/>
        <w:t xml:space="preserve">the Ontario </w:t>
      </w:r>
      <w:r w:rsidRPr="00CC5771">
        <w:rPr>
          <w:rFonts w:ascii="Times New Roman" w:hAnsi="Times New Roman" w:cs="Times New Roman"/>
          <w:i/>
          <w:lang w:val="en-CA"/>
        </w:rPr>
        <w:t>Human Rights Code</w:t>
      </w:r>
      <w:r w:rsidRPr="00CC5771">
        <w:rPr>
          <w:rFonts w:ascii="Times New Roman" w:hAnsi="Times New Roman" w:cs="Times New Roman"/>
          <w:lang w:val="en-CA"/>
        </w:rPr>
        <w:t xml:space="preserve">. This is not to say, however, that the forms of hegemonic masculinity at issue in </w:t>
      </w:r>
      <w:r w:rsidRPr="00CC5771">
        <w:rPr>
          <w:rFonts w:ascii="Times New Roman" w:hAnsi="Times New Roman" w:cs="Times New Roman"/>
          <w:i/>
          <w:iCs/>
          <w:lang w:val="en-CA"/>
        </w:rPr>
        <w:t>Browne</w:t>
      </w:r>
      <w:r w:rsidRPr="00CC5771">
        <w:rPr>
          <w:rFonts w:ascii="Times New Roman" w:hAnsi="Times New Roman" w:cs="Times New Roman"/>
          <w:lang w:val="en-CA"/>
        </w:rPr>
        <w:t xml:space="preserve"> and </w:t>
      </w:r>
      <w:r w:rsidRPr="00CC5771">
        <w:rPr>
          <w:rFonts w:ascii="Times New Roman" w:hAnsi="Times New Roman" w:cs="Times New Roman"/>
          <w:i/>
          <w:iCs/>
          <w:lang w:val="en-CA"/>
        </w:rPr>
        <w:t>Barksey</w:t>
      </w:r>
      <w:r w:rsidRPr="00CC5771">
        <w:rPr>
          <w:rFonts w:ascii="Times New Roman" w:hAnsi="Times New Roman" w:cs="Times New Roman"/>
          <w:lang w:val="en-CA"/>
        </w:rPr>
        <w:t xml:space="preserve"> should </w:t>
      </w:r>
      <w:r w:rsidR="00EE5126" w:rsidRPr="00CC5771">
        <w:rPr>
          <w:rFonts w:ascii="Times New Roman" w:hAnsi="Times New Roman" w:cs="Times New Roman"/>
          <w:lang w:val="en-CA"/>
        </w:rPr>
        <w:t xml:space="preserve">necessarily </w:t>
      </w:r>
      <w:r w:rsidRPr="00CC5771">
        <w:rPr>
          <w:rFonts w:ascii="Times New Roman" w:hAnsi="Times New Roman" w:cs="Times New Roman"/>
          <w:lang w:val="en-CA"/>
        </w:rPr>
        <w:t>be conceptualized as</w:t>
      </w:r>
      <w:r w:rsidR="004F0F68" w:rsidRPr="00CC5771">
        <w:rPr>
          <w:rFonts w:ascii="Times New Roman" w:hAnsi="Times New Roman" w:cs="Times New Roman"/>
          <w:lang w:val="en-CA"/>
        </w:rPr>
        <w:t xml:space="preserve"> </w:t>
      </w:r>
      <w:r w:rsidR="008E04FE" w:rsidRPr="00CC5771">
        <w:rPr>
          <w:rFonts w:ascii="Times New Roman" w:hAnsi="Times New Roman" w:cs="Times New Roman"/>
          <w:lang w:val="en-CA"/>
        </w:rPr>
        <w:t xml:space="preserve">targets of </w:t>
      </w:r>
      <w:r w:rsidRPr="00CC5771">
        <w:rPr>
          <w:rFonts w:ascii="Times New Roman" w:hAnsi="Times New Roman" w:cs="Times New Roman"/>
          <w:i/>
          <w:lang w:val="en-CA"/>
        </w:rPr>
        <w:t>discrimination</w:t>
      </w:r>
      <w:r w:rsidRPr="00CC5771">
        <w:rPr>
          <w:rFonts w:ascii="Times New Roman" w:hAnsi="Times New Roman" w:cs="Times New Roman"/>
          <w:lang w:val="en-CA"/>
        </w:rPr>
        <w:t xml:space="preserve"> on the </w:t>
      </w:r>
      <w:r w:rsidR="0062738A" w:rsidRPr="00CC5771">
        <w:rPr>
          <w:rFonts w:ascii="Times New Roman" w:hAnsi="Times New Roman" w:cs="Times New Roman"/>
          <w:lang w:val="en-CA"/>
        </w:rPr>
        <w:t>basis</w:t>
      </w:r>
      <w:r w:rsidRPr="00CC5771">
        <w:rPr>
          <w:rFonts w:ascii="Times New Roman" w:hAnsi="Times New Roman" w:cs="Times New Roman"/>
          <w:lang w:val="en-CA"/>
        </w:rPr>
        <w:t xml:space="preserve"> of “gender expression.” While theorizing the nature of discrimination goes beyond our purposes here,</w:t>
      </w:r>
      <w:r w:rsidRPr="00CC5771">
        <w:rPr>
          <w:rStyle w:val="FootnoteReference"/>
          <w:rFonts w:ascii="Times New Roman" w:hAnsi="Times New Roman" w:cs="Times New Roman"/>
          <w:lang w:val="en-CA"/>
        </w:rPr>
        <w:footnoteReference w:id="70"/>
      </w:r>
      <w:r w:rsidRPr="00CC5771">
        <w:rPr>
          <w:rFonts w:ascii="Times New Roman" w:hAnsi="Times New Roman" w:cs="Times New Roman"/>
          <w:lang w:val="en-CA"/>
        </w:rPr>
        <w:t xml:space="preserve"> it is now well-established that </w:t>
      </w:r>
      <w:r w:rsidR="009179BA" w:rsidRPr="00CC5771">
        <w:rPr>
          <w:rFonts w:ascii="Times New Roman" w:hAnsi="Times New Roman" w:cs="Times New Roman"/>
          <w:lang w:val="en-CA"/>
        </w:rPr>
        <w:t xml:space="preserve">Canadian </w:t>
      </w:r>
      <w:r w:rsidRPr="00CC5771">
        <w:rPr>
          <w:rFonts w:ascii="Times New Roman" w:hAnsi="Times New Roman" w:cs="Times New Roman"/>
          <w:lang w:val="en-CA"/>
        </w:rPr>
        <w:t xml:space="preserve">human rights law is designed to guard against the operation of prejudice or stereotyping. Moreover, the existence of pre-existing or historical disadvantage experienced by groups identified in human rights law instruments may serve as a useful heuristic </w:t>
      </w:r>
      <w:r w:rsidR="00A32603" w:rsidRPr="00CC5771">
        <w:rPr>
          <w:rFonts w:ascii="Times New Roman" w:hAnsi="Times New Roman" w:cs="Times New Roman"/>
          <w:lang w:val="en-CA"/>
        </w:rPr>
        <w:t>for</w:t>
      </w:r>
      <w:r w:rsidRPr="00CC5771">
        <w:rPr>
          <w:rFonts w:ascii="Times New Roman" w:hAnsi="Times New Roman" w:cs="Times New Roman"/>
          <w:lang w:val="en-CA"/>
        </w:rPr>
        <w:t xml:space="preserve"> courts and tribunals </w:t>
      </w:r>
      <w:r w:rsidR="00A32603" w:rsidRPr="00CC5771">
        <w:rPr>
          <w:rFonts w:ascii="Times New Roman" w:hAnsi="Times New Roman" w:cs="Times New Roman"/>
          <w:lang w:val="en-CA"/>
        </w:rPr>
        <w:t xml:space="preserve">tasked with </w:t>
      </w:r>
      <w:r w:rsidR="00EE5126" w:rsidRPr="00CC5771">
        <w:rPr>
          <w:rFonts w:ascii="Times New Roman" w:hAnsi="Times New Roman" w:cs="Times New Roman"/>
          <w:lang w:val="en-CA"/>
        </w:rPr>
        <w:t>adjudicating claims of discrimination</w:t>
      </w:r>
      <w:r w:rsidRPr="00CC5771">
        <w:rPr>
          <w:rFonts w:ascii="Times New Roman" w:hAnsi="Times New Roman" w:cs="Times New Roman"/>
          <w:lang w:val="en-CA"/>
        </w:rPr>
        <w:t>.</w:t>
      </w:r>
      <w:r w:rsidRPr="00CC5771">
        <w:rPr>
          <w:rStyle w:val="FootnoteReference"/>
          <w:rFonts w:ascii="Times New Roman" w:hAnsi="Times New Roman" w:cs="Times New Roman"/>
          <w:lang w:val="en-CA"/>
        </w:rPr>
        <w:footnoteReference w:id="71"/>
      </w:r>
      <w:r w:rsidRPr="00CC5771">
        <w:rPr>
          <w:rFonts w:ascii="Times New Roman" w:hAnsi="Times New Roman" w:cs="Times New Roman"/>
          <w:lang w:val="en-CA"/>
        </w:rPr>
        <w:t xml:space="preserve"> Given that there is little on the record in both </w:t>
      </w:r>
      <w:r w:rsidRPr="00CC5771">
        <w:rPr>
          <w:rFonts w:ascii="Times New Roman" w:hAnsi="Times New Roman" w:cs="Times New Roman"/>
          <w:i/>
          <w:iCs/>
          <w:lang w:val="en-CA"/>
        </w:rPr>
        <w:t>Browne</w:t>
      </w:r>
      <w:r w:rsidRPr="00CC5771">
        <w:rPr>
          <w:rFonts w:ascii="Times New Roman" w:hAnsi="Times New Roman" w:cs="Times New Roman"/>
          <w:lang w:val="en-CA"/>
        </w:rPr>
        <w:t xml:space="preserve"> and </w:t>
      </w:r>
      <w:r w:rsidRPr="00CC5771">
        <w:rPr>
          <w:rFonts w:ascii="Times New Roman" w:hAnsi="Times New Roman" w:cs="Times New Roman"/>
          <w:i/>
          <w:iCs/>
          <w:lang w:val="en-CA"/>
        </w:rPr>
        <w:t>Barksey</w:t>
      </w:r>
      <w:r w:rsidRPr="00CC5771">
        <w:rPr>
          <w:rFonts w:ascii="Times New Roman" w:hAnsi="Times New Roman" w:cs="Times New Roman"/>
          <w:lang w:val="en-CA"/>
        </w:rPr>
        <w:t xml:space="preserve"> to suggest that cisgender men engaged in forms of hegemonic masculinity are subject to pre-existing or historical disadvantage, </w:t>
      </w:r>
      <w:r w:rsidR="00EE5126" w:rsidRPr="00CC5771">
        <w:rPr>
          <w:rFonts w:ascii="Times New Roman" w:hAnsi="Times New Roman" w:cs="Times New Roman"/>
          <w:lang w:val="en-CA"/>
        </w:rPr>
        <w:t>let alone</w:t>
      </w:r>
      <w:r w:rsidRPr="00CC5771">
        <w:rPr>
          <w:rFonts w:ascii="Times New Roman" w:hAnsi="Times New Roman" w:cs="Times New Roman"/>
          <w:lang w:val="en-CA"/>
        </w:rPr>
        <w:t xml:space="preserve"> prejudice or stereotyping, our view is that these cases </w:t>
      </w:r>
      <w:r w:rsidR="00A32603" w:rsidRPr="00CC5771">
        <w:rPr>
          <w:rFonts w:ascii="Times New Roman" w:hAnsi="Times New Roman" w:cs="Times New Roman"/>
          <w:lang w:val="en-CA"/>
        </w:rPr>
        <w:t xml:space="preserve">could </w:t>
      </w:r>
      <w:r w:rsidR="00EE5126" w:rsidRPr="00CC5771">
        <w:rPr>
          <w:rFonts w:ascii="Times New Roman" w:hAnsi="Times New Roman" w:cs="Times New Roman"/>
          <w:lang w:val="en-CA"/>
        </w:rPr>
        <w:t>be resolv</w:t>
      </w:r>
      <w:r w:rsidR="00FD2B9F" w:rsidRPr="00CC5771">
        <w:rPr>
          <w:rFonts w:ascii="Times New Roman" w:hAnsi="Times New Roman" w:cs="Times New Roman"/>
          <w:lang w:val="en-CA"/>
        </w:rPr>
        <w:t>ed</w:t>
      </w:r>
      <w:r w:rsidR="00EE5126" w:rsidRPr="00CC5771">
        <w:rPr>
          <w:rFonts w:ascii="Times New Roman" w:hAnsi="Times New Roman" w:cs="Times New Roman"/>
          <w:lang w:val="en-CA"/>
        </w:rPr>
        <w:t xml:space="preserve"> by finding that no discrimination had occurred</w:t>
      </w:r>
      <w:r w:rsidRPr="00CC5771">
        <w:rPr>
          <w:rFonts w:ascii="Times New Roman" w:hAnsi="Times New Roman" w:cs="Times New Roman"/>
          <w:lang w:val="en-CA"/>
        </w:rPr>
        <w:t xml:space="preserve">. Resolving the cases </w:t>
      </w:r>
      <w:r w:rsidR="00A32603" w:rsidRPr="00CC5771">
        <w:rPr>
          <w:rFonts w:ascii="Times New Roman" w:hAnsi="Times New Roman" w:cs="Times New Roman"/>
          <w:lang w:val="en-CA"/>
        </w:rPr>
        <w:t>this way</w:t>
      </w:r>
      <w:r w:rsidRPr="00CC5771">
        <w:rPr>
          <w:rFonts w:ascii="Times New Roman" w:hAnsi="Times New Roman" w:cs="Times New Roman"/>
          <w:lang w:val="en-CA"/>
        </w:rPr>
        <w:t xml:space="preserve"> </w:t>
      </w:r>
      <w:r w:rsidR="00EE5126" w:rsidRPr="00CC5771">
        <w:rPr>
          <w:rFonts w:ascii="Times New Roman" w:hAnsi="Times New Roman" w:cs="Times New Roman"/>
          <w:lang w:val="en-CA"/>
        </w:rPr>
        <w:t>would have avoided the troubling suggestion</w:t>
      </w:r>
      <w:r w:rsidRPr="00CC5771">
        <w:rPr>
          <w:rFonts w:ascii="Times New Roman" w:hAnsi="Times New Roman" w:cs="Times New Roman"/>
          <w:lang w:val="en-CA"/>
        </w:rPr>
        <w:t xml:space="preserve"> that “gender expression” </w:t>
      </w:r>
      <w:r w:rsidR="00EE5126" w:rsidRPr="00CC5771">
        <w:rPr>
          <w:rFonts w:ascii="Times New Roman" w:hAnsi="Times New Roman" w:cs="Times New Roman"/>
          <w:lang w:val="en-CA"/>
        </w:rPr>
        <w:t>protections should be limited to only apply to trans</w:t>
      </w:r>
      <w:r w:rsidR="008E04FE" w:rsidRPr="00CC5771">
        <w:rPr>
          <w:rFonts w:ascii="Times New Roman" w:hAnsi="Times New Roman" w:cs="Times New Roman"/>
          <w:lang w:val="en-CA"/>
        </w:rPr>
        <w:t>gender</w:t>
      </w:r>
      <w:r w:rsidR="00EE5126" w:rsidRPr="00CC5771">
        <w:rPr>
          <w:rFonts w:ascii="Times New Roman" w:hAnsi="Times New Roman" w:cs="Times New Roman"/>
          <w:lang w:val="en-CA"/>
        </w:rPr>
        <w:t xml:space="preserve"> and/or non-binary people.</w:t>
      </w:r>
    </w:p>
    <w:p w14:paraId="2D36185E" w14:textId="03ACDAE9" w:rsidR="008B166F" w:rsidRPr="00CC5771" w:rsidRDefault="00C700C4"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Fourth</w:t>
      </w:r>
      <w:r w:rsidR="00A803F9" w:rsidRPr="00CC5771">
        <w:rPr>
          <w:rFonts w:ascii="Times New Roman" w:hAnsi="Times New Roman" w:cs="Times New Roman"/>
          <w:lang w:val="en-CA"/>
        </w:rPr>
        <w:t xml:space="preserve">, </w:t>
      </w:r>
      <w:r w:rsidR="00CF23FB" w:rsidRPr="00CC5771">
        <w:rPr>
          <w:rFonts w:ascii="Times New Roman" w:hAnsi="Times New Roman" w:cs="Times New Roman"/>
          <w:lang w:val="en-CA"/>
        </w:rPr>
        <w:t>restricting “gender expression” protections to people who are trans</w:t>
      </w:r>
      <w:r w:rsidR="00D90E1C" w:rsidRPr="00CC5771">
        <w:rPr>
          <w:rFonts w:ascii="Times New Roman" w:hAnsi="Times New Roman" w:cs="Times New Roman"/>
          <w:lang w:val="en-CA"/>
        </w:rPr>
        <w:t>gender</w:t>
      </w:r>
      <w:r w:rsidR="00CF23FB" w:rsidRPr="00CC5771">
        <w:rPr>
          <w:rFonts w:ascii="Times New Roman" w:hAnsi="Times New Roman" w:cs="Times New Roman"/>
          <w:lang w:val="en-CA"/>
        </w:rPr>
        <w:t xml:space="preserve"> and/or non-binary places the Tribunal in the </w:t>
      </w:r>
      <w:r w:rsidR="00A91882" w:rsidRPr="00CC5771">
        <w:rPr>
          <w:rFonts w:ascii="Times New Roman" w:hAnsi="Times New Roman" w:cs="Times New Roman"/>
          <w:lang w:val="en-CA"/>
        </w:rPr>
        <w:t xml:space="preserve">troubling </w:t>
      </w:r>
      <w:r w:rsidR="00CF23FB" w:rsidRPr="00CC5771">
        <w:rPr>
          <w:rFonts w:ascii="Times New Roman" w:hAnsi="Times New Roman" w:cs="Times New Roman"/>
          <w:lang w:val="en-CA"/>
        </w:rPr>
        <w:t>position of deciding the boundaries of transgender as a category, one case at a time</w:t>
      </w:r>
      <w:r w:rsidR="00C353AB" w:rsidRPr="00CC5771">
        <w:rPr>
          <w:rFonts w:ascii="Times New Roman" w:hAnsi="Times New Roman" w:cs="Times New Roman"/>
          <w:lang w:val="en-CA"/>
        </w:rPr>
        <w:t xml:space="preserve">, by saying yes or no to “gender expression” claimants on the basis of whether Tribunal members perceive them to </w:t>
      </w:r>
      <w:r w:rsidR="00C5247D" w:rsidRPr="00CC5771">
        <w:rPr>
          <w:rFonts w:ascii="Times New Roman" w:hAnsi="Times New Roman" w:cs="Times New Roman"/>
          <w:lang w:val="en-CA"/>
        </w:rPr>
        <w:t>fall within that category</w:t>
      </w:r>
      <w:r w:rsidR="00CF23FB" w:rsidRPr="00CC5771">
        <w:rPr>
          <w:rFonts w:ascii="Times New Roman" w:hAnsi="Times New Roman" w:cs="Times New Roman"/>
          <w:lang w:val="en-CA"/>
        </w:rPr>
        <w:t xml:space="preserve">. It is conceivable that </w:t>
      </w:r>
      <w:r w:rsidR="00C5247D" w:rsidRPr="00CC5771">
        <w:rPr>
          <w:rFonts w:ascii="Times New Roman" w:hAnsi="Times New Roman" w:cs="Times New Roman"/>
          <w:lang w:val="en-CA"/>
        </w:rPr>
        <w:t xml:space="preserve">this hypothetical body of </w:t>
      </w:r>
      <w:r w:rsidR="00CF23FB" w:rsidRPr="00CC5771">
        <w:rPr>
          <w:rFonts w:ascii="Times New Roman" w:hAnsi="Times New Roman" w:cs="Times New Roman"/>
          <w:lang w:val="en-CA"/>
        </w:rPr>
        <w:t>caselaw defining</w:t>
      </w:r>
      <w:r w:rsidR="000638BD" w:rsidRPr="00CC5771">
        <w:rPr>
          <w:rFonts w:ascii="Times New Roman" w:hAnsi="Times New Roman" w:cs="Times New Roman"/>
          <w:lang w:val="en-CA"/>
        </w:rPr>
        <w:t xml:space="preserve"> </w:t>
      </w:r>
      <w:r w:rsidR="00A91882" w:rsidRPr="00CC5771">
        <w:rPr>
          <w:rFonts w:ascii="Times New Roman" w:hAnsi="Times New Roman" w:cs="Times New Roman"/>
          <w:lang w:val="en-CA"/>
        </w:rPr>
        <w:t>“transgender”</w:t>
      </w:r>
      <w:r w:rsidR="000638BD" w:rsidRPr="00CC5771">
        <w:rPr>
          <w:rFonts w:ascii="Times New Roman" w:hAnsi="Times New Roman" w:cs="Times New Roman"/>
          <w:lang w:val="en-CA"/>
        </w:rPr>
        <w:t xml:space="preserve"> could be mis</w:t>
      </w:r>
      <w:r w:rsidR="00CF23FB" w:rsidRPr="00CC5771">
        <w:rPr>
          <w:rFonts w:ascii="Times New Roman" w:hAnsi="Times New Roman" w:cs="Times New Roman"/>
          <w:lang w:val="en-CA"/>
        </w:rPr>
        <w:t xml:space="preserve">used in the future to the </w:t>
      </w:r>
      <w:r w:rsidR="00CF23FB" w:rsidRPr="00CC5771">
        <w:rPr>
          <w:rFonts w:ascii="Times New Roman" w:hAnsi="Times New Roman" w:cs="Times New Roman"/>
          <w:lang w:val="en-CA"/>
        </w:rPr>
        <w:lastRenderedPageBreak/>
        <w:t>detriment of trans</w:t>
      </w:r>
      <w:r w:rsidR="00D90E1C" w:rsidRPr="00CC5771">
        <w:rPr>
          <w:rFonts w:ascii="Times New Roman" w:hAnsi="Times New Roman" w:cs="Times New Roman"/>
          <w:lang w:val="en-CA"/>
        </w:rPr>
        <w:t>gender</w:t>
      </w:r>
      <w:r w:rsidR="00CF23FB" w:rsidRPr="00CC5771">
        <w:rPr>
          <w:rFonts w:ascii="Times New Roman" w:hAnsi="Times New Roman" w:cs="Times New Roman"/>
          <w:lang w:val="en-CA"/>
        </w:rPr>
        <w:t xml:space="preserve"> and/or non-binary people</w:t>
      </w:r>
      <w:r w:rsidR="009F4B86" w:rsidRPr="00CC5771">
        <w:rPr>
          <w:rFonts w:ascii="Times New Roman" w:hAnsi="Times New Roman" w:cs="Times New Roman"/>
          <w:lang w:val="en-CA"/>
        </w:rPr>
        <w:t xml:space="preserve"> whose </w:t>
      </w:r>
      <w:r w:rsidR="000D2E5F">
        <w:rPr>
          <w:rFonts w:ascii="Times New Roman" w:hAnsi="Times New Roman" w:cs="Times New Roman"/>
          <w:lang w:val="en-CA"/>
        </w:rPr>
        <w:t>“</w:t>
      </w:r>
      <w:r w:rsidR="009F4B86" w:rsidRPr="00CC5771">
        <w:rPr>
          <w:rFonts w:ascii="Times New Roman" w:hAnsi="Times New Roman" w:cs="Times New Roman"/>
          <w:lang w:val="en-CA"/>
        </w:rPr>
        <w:t>trans-ness</w:t>
      </w:r>
      <w:r w:rsidR="000D2E5F">
        <w:rPr>
          <w:rFonts w:ascii="Times New Roman" w:hAnsi="Times New Roman" w:cs="Times New Roman"/>
          <w:lang w:val="en-CA"/>
        </w:rPr>
        <w:t>”</w:t>
      </w:r>
      <w:r w:rsidR="009F4B86" w:rsidRPr="00CC5771">
        <w:rPr>
          <w:rFonts w:ascii="Times New Roman" w:hAnsi="Times New Roman" w:cs="Times New Roman"/>
          <w:lang w:val="en-CA"/>
        </w:rPr>
        <w:t xml:space="preserve"> exceeds or defeats</w:t>
      </w:r>
      <w:r w:rsidR="00EE535A">
        <w:rPr>
          <w:rFonts w:ascii="Times New Roman" w:hAnsi="Times New Roman" w:cs="Times New Roman"/>
          <w:lang w:val="en-CA"/>
        </w:rPr>
        <w:t xml:space="preserve"> </w:t>
      </w:r>
      <w:r w:rsidR="000638BD" w:rsidRPr="00CC5771">
        <w:rPr>
          <w:rFonts w:ascii="Times New Roman" w:hAnsi="Times New Roman" w:cs="Times New Roman"/>
          <w:lang w:val="en-CA"/>
        </w:rPr>
        <w:t>what is</w:t>
      </w:r>
      <w:r w:rsidR="009F4B86" w:rsidRPr="00CC5771">
        <w:rPr>
          <w:rFonts w:ascii="Times New Roman" w:hAnsi="Times New Roman" w:cs="Times New Roman"/>
          <w:lang w:val="en-CA"/>
        </w:rPr>
        <w:t xml:space="preserve"> understood by </w:t>
      </w:r>
      <w:r w:rsidR="000638BD" w:rsidRPr="00CC5771">
        <w:rPr>
          <w:rFonts w:ascii="Times New Roman" w:hAnsi="Times New Roman" w:cs="Times New Roman"/>
          <w:lang w:val="en-CA"/>
        </w:rPr>
        <w:t>the</w:t>
      </w:r>
      <w:r w:rsidR="009F4B86" w:rsidRPr="00CC5771">
        <w:rPr>
          <w:rFonts w:ascii="Times New Roman" w:hAnsi="Times New Roman" w:cs="Times New Roman"/>
          <w:lang w:val="en-CA"/>
        </w:rPr>
        <w:t xml:space="preserve"> Tribunal</w:t>
      </w:r>
      <w:r w:rsidR="004F0F68" w:rsidRPr="00CC5771">
        <w:rPr>
          <w:rFonts w:ascii="Times New Roman" w:hAnsi="Times New Roman" w:cs="Times New Roman"/>
          <w:lang w:val="en-CA"/>
        </w:rPr>
        <w:t>.</w:t>
      </w:r>
    </w:p>
    <w:p w14:paraId="5F6F9CBD" w14:textId="1956CBB4" w:rsidR="004D070A" w:rsidRPr="00461619" w:rsidRDefault="000D2E5F" w:rsidP="004D0F4E">
      <w:pPr>
        <w:spacing w:after="240" w:line="480" w:lineRule="auto"/>
        <w:rPr>
          <w:rFonts w:ascii="Times New Roman" w:hAnsi="Times New Roman" w:cs="Times New Roman"/>
          <w:b/>
          <w:lang w:val="en-CA"/>
        </w:rPr>
      </w:pPr>
      <w:r w:rsidRPr="00461619">
        <w:rPr>
          <w:rFonts w:ascii="Times New Roman" w:hAnsi="Times New Roman" w:cs="Times New Roman"/>
          <w:b/>
          <w:lang w:val="en-CA"/>
        </w:rPr>
        <w:t xml:space="preserve">3. </w:t>
      </w:r>
      <w:r w:rsidR="004D070A" w:rsidRPr="00461619">
        <w:rPr>
          <w:rFonts w:ascii="Times New Roman" w:hAnsi="Times New Roman" w:cs="Times New Roman"/>
          <w:b/>
          <w:lang w:val="en-CA"/>
        </w:rPr>
        <w:t xml:space="preserve">Legislative </w:t>
      </w:r>
      <w:r w:rsidRPr="00461619">
        <w:rPr>
          <w:rFonts w:ascii="Times New Roman" w:hAnsi="Times New Roman" w:cs="Times New Roman"/>
          <w:b/>
          <w:lang w:val="en-CA"/>
        </w:rPr>
        <w:t>Debates</w:t>
      </w:r>
    </w:p>
    <w:p w14:paraId="65899961" w14:textId="7EF6E403" w:rsidR="0062738A" w:rsidRPr="00CC5771" w:rsidRDefault="004F0F68"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Beyond human rights commission definitions and recent tribunal decisions, tensions about</w:t>
      </w:r>
      <w:r w:rsidR="007C42C7" w:rsidRPr="00CC5771">
        <w:rPr>
          <w:rFonts w:ascii="Times New Roman" w:hAnsi="Times New Roman" w:cs="Times New Roman"/>
          <w:lang w:val="en-CA"/>
        </w:rPr>
        <w:t xml:space="preserve"> the universalizing impulses of “gender expression” </w:t>
      </w:r>
      <w:r w:rsidRPr="00CC5771">
        <w:rPr>
          <w:rFonts w:ascii="Times New Roman" w:hAnsi="Times New Roman" w:cs="Times New Roman"/>
          <w:lang w:val="en-CA"/>
        </w:rPr>
        <w:t>were</w:t>
      </w:r>
      <w:r w:rsidR="007C42C7" w:rsidRPr="00CC5771">
        <w:rPr>
          <w:rFonts w:ascii="Times New Roman" w:hAnsi="Times New Roman" w:cs="Times New Roman"/>
          <w:lang w:val="en-CA"/>
        </w:rPr>
        <w:t xml:space="preserve"> not reflected in the Hansard debates surrounding the passage of </w:t>
      </w:r>
      <w:r w:rsidR="007C42C7" w:rsidRPr="00CC5771">
        <w:rPr>
          <w:rFonts w:ascii="Times New Roman" w:hAnsi="Times New Roman" w:cs="Times New Roman"/>
          <w:i/>
          <w:lang w:val="en-CA"/>
        </w:rPr>
        <w:t>Toby</w:t>
      </w:r>
      <w:r w:rsidR="00912EC7">
        <w:rPr>
          <w:rFonts w:ascii="Times New Roman" w:hAnsi="Times New Roman" w:cs="Times New Roman"/>
          <w:i/>
          <w:lang w:val="en-CA"/>
        </w:rPr>
        <w:t>’</w:t>
      </w:r>
      <w:r w:rsidR="007C42C7" w:rsidRPr="00CC5771">
        <w:rPr>
          <w:rFonts w:ascii="Times New Roman" w:hAnsi="Times New Roman" w:cs="Times New Roman"/>
          <w:i/>
          <w:lang w:val="en-CA"/>
        </w:rPr>
        <w:t>s Act</w:t>
      </w:r>
      <w:r w:rsidR="007C42C7" w:rsidRPr="00CC5771">
        <w:rPr>
          <w:rFonts w:ascii="Times New Roman" w:hAnsi="Times New Roman" w:cs="Times New Roman"/>
          <w:lang w:val="en-CA"/>
        </w:rPr>
        <w:t xml:space="preserve"> in Ontario in 2012, with lawmakers preferring to </w:t>
      </w:r>
      <w:r w:rsidR="0062738A" w:rsidRPr="00CC5771">
        <w:rPr>
          <w:rFonts w:ascii="Times New Roman" w:hAnsi="Times New Roman" w:cs="Times New Roman"/>
          <w:lang w:val="en-CA"/>
        </w:rPr>
        <w:t xml:space="preserve">make optimistic </w:t>
      </w:r>
      <w:r w:rsidR="00D4356B" w:rsidRPr="00CC5771">
        <w:rPr>
          <w:rFonts w:ascii="Times New Roman" w:hAnsi="Times New Roman" w:cs="Times New Roman"/>
          <w:lang w:val="en-CA"/>
        </w:rPr>
        <w:t>statements</w:t>
      </w:r>
      <w:r w:rsidR="0062738A" w:rsidRPr="00CC5771">
        <w:rPr>
          <w:rFonts w:ascii="Times New Roman" w:hAnsi="Times New Roman" w:cs="Times New Roman"/>
          <w:lang w:val="en-CA"/>
        </w:rPr>
        <w:t xml:space="preserve"> about the promise of human rights law reform</w:t>
      </w:r>
      <w:r w:rsidRPr="00CC5771">
        <w:rPr>
          <w:rFonts w:ascii="Times New Roman" w:hAnsi="Times New Roman" w:cs="Times New Roman"/>
          <w:lang w:val="en-CA"/>
        </w:rPr>
        <w:t>.</w:t>
      </w:r>
      <w:r w:rsidR="008B166F" w:rsidRPr="00CC5771">
        <w:rPr>
          <w:rStyle w:val="FootnoteReference"/>
          <w:rFonts w:ascii="Times New Roman" w:hAnsi="Times New Roman" w:cs="Times New Roman"/>
          <w:lang w:val="en-CA"/>
        </w:rPr>
        <w:footnoteReference w:id="72"/>
      </w:r>
      <w:r w:rsidR="006A7A49" w:rsidRPr="00CC5771">
        <w:rPr>
          <w:rFonts w:ascii="Times New Roman" w:hAnsi="Times New Roman" w:cs="Times New Roman"/>
          <w:lang w:val="en-CA"/>
        </w:rPr>
        <w:t xml:space="preserve"> While lawmakers regularly </w:t>
      </w:r>
      <w:r w:rsidR="0062738A" w:rsidRPr="00CC5771">
        <w:rPr>
          <w:rFonts w:ascii="Times New Roman" w:hAnsi="Times New Roman" w:cs="Times New Roman"/>
          <w:lang w:val="en-CA"/>
        </w:rPr>
        <w:t>cited</w:t>
      </w:r>
      <w:r w:rsidR="006A7A49" w:rsidRPr="00CC5771">
        <w:rPr>
          <w:rFonts w:ascii="Times New Roman" w:hAnsi="Times New Roman" w:cs="Times New Roman"/>
          <w:lang w:val="en-CA"/>
        </w:rPr>
        <w:t xml:space="preserve"> the discrimination, harassment, and violence experienced by trans</w:t>
      </w:r>
      <w:r w:rsidR="00C97D22" w:rsidRPr="00CC5771">
        <w:rPr>
          <w:rFonts w:ascii="Times New Roman" w:hAnsi="Times New Roman" w:cs="Times New Roman"/>
          <w:lang w:val="en-CA"/>
        </w:rPr>
        <w:t>gender</w:t>
      </w:r>
      <w:r w:rsidR="006A7A49" w:rsidRPr="00CC5771">
        <w:rPr>
          <w:rFonts w:ascii="Times New Roman" w:hAnsi="Times New Roman" w:cs="Times New Roman"/>
          <w:lang w:val="en-CA"/>
        </w:rPr>
        <w:t xml:space="preserve"> and/or non-binary communities, </w:t>
      </w:r>
      <w:r w:rsidR="0062738A" w:rsidRPr="00CC5771">
        <w:rPr>
          <w:rFonts w:ascii="Times New Roman" w:hAnsi="Times New Roman" w:cs="Times New Roman"/>
          <w:lang w:val="en-CA"/>
        </w:rPr>
        <w:t>they did not suggest that the</w:t>
      </w:r>
      <w:r w:rsidR="006A7A49" w:rsidRPr="00CC5771">
        <w:rPr>
          <w:rFonts w:ascii="Times New Roman" w:hAnsi="Times New Roman" w:cs="Times New Roman"/>
          <w:lang w:val="en-CA"/>
        </w:rPr>
        <w:t xml:space="preserve"> protections were designed to</w:t>
      </w:r>
      <w:r w:rsidR="001422B5" w:rsidRPr="00CC5771">
        <w:rPr>
          <w:rFonts w:ascii="Times New Roman" w:hAnsi="Times New Roman" w:cs="Times New Roman"/>
          <w:lang w:val="en-CA"/>
        </w:rPr>
        <w:t xml:space="preserve"> be</w:t>
      </w:r>
      <w:r w:rsidR="006A7A49" w:rsidRPr="00CC5771">
        <w:rPr>
          <w:rFonts w:ascii="Times New Roman" w:hAnsi="Times New Roman" w:cs="Times New Roman"/>
          <w:lang w:val="en-CA"/>
        </w:rPr>
        <w:t xml:space="preserve"> afforded a narrow interpretation.</w:t>
      </w:r>
      <w:r w:rsidR="008017FE" w:rsidRPr="00CC5771">
        <w:rPr>
          <w:rFonts w:ascii="Times New Roman" w:hAnsi="Times New Roman" w:cs="Times New Roman"/>
          <w:lang w:val="en-CA"/>
        </w:rPr>
        <w:t xml:space="preserve"> As Member of Provincia</w:t>
      </w:r>
      <w:r w:rsidR="00BD6E08" w:rsidRPr="00CC5771">
        <w:rPr>
          <w:rFonts w:ascii="Times New Roman" w:hAnsi="Times New Roman" w:cs="Times New Roman"/>
          <w:lang w:val="en-CA"/>
        </w:rPr>
        <w:t xml:space="preserve">l Parliament Jane McKenna, describing </w:t>
      </w:r>
      <w:r w:rsidR="00BD6E08" w:rsidRPr="00CC5771">
        <w:rPr>
          <w:rFonts w:ascii="Times New Roman" w:hAnsi="Times New Roman" w:cs="Times New Roman"/>
          <w:i/>
          <w:lang w:val="en-CA"/>
        </w:rPr>
        <w:t>Toby</w:t>
      </w:r>
      <w:r w:rsidR="00912EC7">
        <w:rPr>
          <w:rFonts w:ascii="Times New Roman" w:hAnsi="Times New Roman" w:cs="Times New Roman"/>
          <w:i/>
          <w:lang w:val="en-CA"/>
        </w:rPr>
        <w:t>’</w:t>
      </w:r>
      <w:r w:rsidR="00BD6E08" w:rsidRPr="00CC5771">
        <w:rPr>
          <w:rFonts w:ascii="Times New Roman" w:hAnsi="Times New Roman" w:cs="Times New Roman"/>
          <w:i/>
          <w:lang w:val="en-CA"/>
        </w:rPr>
        <w:t>s Act</w:t>
      </w:r>
      <w:r w:rsidR="00BD6E08" w:rsidRPr="00CC5771">
        <w:rPr>
          <w:rFonts w:ascii="Times New Roman" w:hAnsi="Times New Roman" w:cs="Times New Roman"/>
          <w:lang w:val="en-CA"/>
        </w:rPr>
        <w:t xml:space="preserve">, </w:t>
      </w:r>
      <w:r w:rsidR="0062738A" w:rsidRPr="00CC5771">
        <w:rPr>
          <w:rFonts w:ascii="Times New Roman" w:hAnsi="Times New Roman" w:cs="Times New Roman"/>
          <w:lang w:val="en-CA"/>
        </w:rPr>
        <w:t>explained:</w:t>
      </w:r>
    </w:p>
    <w:p w14:paraId="5BBD70F1" w14:textId="7F8CB111" w:rsidR="008017FE" w:rsidRPr="00CC5771" w:rsidRDefault="008017FE" w:rsidP="004D0F4E">
      <w:pPr>
        <w:spacing w:after="240" w:line="480" w:lineRule="auto"/>
        <w:ind w:left="720" w:right="720"/>
        <w:rPr>
          <w:rFonts w:ascii="Times New Roman" w:hAnsi="Times New Roman" w:cs="Times New Roman"/>
          <w:sz w:val="22"/>
          <w:lang w:val="en-CA"/>
        </w:rPr>
      </w:pPr>
      <w:r w:rsidRPr="00CC5771">
        <w:rPr>
          <w:rFonts w:ascii="Times New Roman" w:hAnsi="Times New Roman" w:cs="Times New Roman"/>
          <w:sz w:val="22"/>
          <w:lang w:val="en-CA"/>
        </w:rPr>
        <w:t xml:space="preserve">And yet, under the </w:t>
      </w:r>
      <w:r w:rsidR="004824AD" w:rsidRPr="00CC5771">
        <w:rPr>
          <w:rFonts w:ascii="Times New Roman" w:hAnsi="Times New Roman" w:cs="Times New Roman"/>
          <w:sz w:val="22"/>
          <w:lang w:val="en-CA"/>
        </w:rPr>
        <w:t xml:space="preserve">current language of the Ontario </w:t>
      </w:r>
      <w:r w:rsidRPr="00461619">
        <w:rPr>
          <w:rFonts w:ascii="Times New Roman" w:hAnsi="Times New Roman" w:cs="Times New Roman"/>
          <w:i/>
          <w:sz w:val="22"/>
          <w:lang w:val="en-CA"/>
        </w:rPr>
        <w:t>Human Rights Code</w:t>
      </w:r>
      <w:r w:rsidRPr="00CC5771">
        <w:rPr>
          <w:rFonts w:ascii="Times New Roman" w:hAnsi="Times New Roman" w:cs="Times New Roman"/>
          <w:sz w:val="22"/>
          <w:lang w:val="en-CA"/>
        </w:rPr>
        <w:t>, the equalities and freedoms that</w:t>
      </w:r>
      <w:r w:rsidR="004824AD" w:rsidRPr="00CC5771">
        <w:rPr>
          <w:rFonts w:ascii="Times New Roman" w:hAnsi="Times New Roman" w:cs="Times New Roman"/>
          <w:sz w:val="22"/>
          <w:lang w:val="en-CA"/>
        </w:rPr>
        <w:t xml:space="preserve"> most of us enjoy, and which far too many of us take for granted, are spelled out clearly for some and are implied for others. Bill 33 addresses that shortcoming. It amends the Human Rights Code to specify that </w:t>
      </w:r>
      <w:r w:rsidR="004824AD" w:rsidRPr="00CC5771">
        <w:rPr>
          <w:rFonts w:ascii="Times New Roman" w:hAnsi="Times New Roman" w:cs="Times New Roman"/>
          <w:b/>
          <w:sz w:val="22"/>
          <w:lang w:val="en-CA"/>
        </w:rPr>
        <w:t>every person</w:t>
      </w:r>
      <w:r w:rsidR="004824AD" w:rsidRPr="00CC5771">
        <w:rPr>
          <w:rFonts w:ascii="Times New Roman" w:hAnsi="Times New Roman" w:cs="Times New Roman"/>
          <w:sz w:val="22"/>
          <w:lang w:val="en-CA"/>
        </w:rPr>
        <w:t xml:space="preserve"> has a right to equal treatment without discrimination because of gender identity or gender expression with respect to services, goods and facilities; accommodations; contracting; employment; and membership in a trade union, trade or occupational association or self-governing profession. The bill also amends the code to specify that </w:t>
      </w:r>
      <w:r w:rsidR="004824AD" w:rsidRPr="00CC5771">
        <w:rPr>
          <w:rFonts w:ascii="Times New Roman" w:hAnsi="Times New Roman" w:cs="Times New Roman"/>
          <w:b/>
          <w:sz w:val="22"/>
          <w:lang w:val="en-CA"/>
        </w:rPr>
        <w:t>every person</w:t>
      </w:r>
      <w:r w:rsidR="004824AD" w:rsidRPr="00CC5771">
        <w:rPr>
          <w:rFonts w:ascii="Times New Roman" w:hAnsi="Times New Roman" w:cs="Times New Roman"/>
          <w:sz w:val="22"/>
          <w:lang w:val="en-CA"/>
        </w:rPr>
        <w:t xml:space="preserve"> has a right to be </w:t>
      </w:r>
      <w:r w:rsidR="004824AD" w:rsidRPr="00CC5771">
        <w:rPr>
          <w:rFonts w:ascii="Times New Roman" w:hAnsi="Times New Roman" w:cs="Times New Roman"/>
          <w:sz w:val="22"/>
          <w:lang w:val="en-CA"/>
        </w:rPr>
        <w:lastRenderedPageBreak/>
        <w:t>free from harassment because of gender identity or gender expression with respect to accommodation and employment.</w:t>
      </w:r>
      <w:r w:rsidR="00BD6E08" w:rsidRPr="00CC5771">
        <w:rPr>
          <w:rStyle w:val="FootnoteReference"/>
          <w:rFonts w:ascii="Times New Roman" w:hAnsi="Times New Roman" w:cs="Times New Roman"/>
          <w:sz w:val="22"/>
          <w:lang w:val="en-CA"/>
        </w:rPr>
        <w:footnoteReference w:id="73"/>
      </w:r>
    </w:p>
    <w:p w14:paraId="7A2F8568" w14:textId="021144CA" w:rsidR="009432AF" w:rsidRPr="00CC5771" w:rsidRDefault="00EF548A"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The</w:t>
      </w:r>
      <w:r w:rsidR="004B3EB1" w:rsidRPr="00CC5771">
        <w:rPr>
          <w:rFonts w:ascii="Times New Roman" w:hAnsi="Times New Roman" w:cs="Times New Roman"/>
          <w:lang w:val="en-CA"/>
        </w:rPr>
        <w:t xml:space="preserve"> same cannot be said</w:t>
      </w:r>
      <w:r w:rsidR="001422B5" w:rsidRPr="00CC5771">
        <w:rPr>
          <w:rFonts w:ascii="Times New Roman" w:hAnsi="Times New Roman" w:cs="Times New Roman"/>
          <w:lang w:val="en-CA"/>
        </w:rPr>
        <w:t>, however,</w:t>
      </w:r>
      <w:r w:rsidR="004B3EB1" w:rsidRPr="00CC5771">
        <w:rPr>
          <w:rFonts w:ascii="Times New Roman" w:hAnsi="Times New Roman" w:cs="Times New Roman"/>
          <w:lang w:val="en-CA"/>
        </w:rPr>
        <w:t xml:space="preserve"> about</w:t>
      </w:r>
      <w:r w:rsidR="00D65839" w:rsidRPr="00CC5771">
        <w:rPr>
          <w:rFonts w:ascii="Times New Roman" w:hAnsi="Times New Roman" w:cs="Times New Roman"/>
          <w:lang w:val="en-CA"/>
        </w:rPr>
        <w:t xml:space="preserve"> debates surrounding the passage of</w:t>
      </w:r>
      <w:r w:rsidR="004B3EB1" w:rsidRPr="00CC5771">
        <w:rPr>
          <w:rFonts w:ascii="Times New Roman" w:hAnsi="Times New Roman" w:cs="Times New Roman"/>
          <w:lang w:val="en-CA"/>
        </w:rPr>
        <w:t xml:space="preserve"> Bill C-279, the precursor to Bill C-16. Bill C-279, </w:t>
      </w:r>
      <w:r w:rsidR="00D65839" w:rsidRPr="00CC5771">
        <w:rPr>
          <w:rFonts w:ascii="Times New Roman" w:hAnsi="Times New Roman" w:cs="Times New Roman"/>
          <w:lang w:val="en-CA"/>
        </w:rPr>
        <w:t xml:space="preserve">a </w:t>
      </w:r>
      <w:r w:rsidR="00A91882" w:rsidRPr="00CC5771">
        <w:rPr>
          <w:rFonts w:ascii="Times New Roman" w:hAnsi="Times New Roman" w:cs="Times New Roman"/>
          <w:lang w:val="en-CA"/>
        </w:rPr>
        <w:t xml:space="preserve">federal </w:t>
      </w:r>
      <w:r w:rsidR="00D65839" w:rsidRPr="00CC5771">
        <w:rPr>
          <w:rFonts w:ascii="Times New Roman" w:hAnsi="Times New Roman" w:cs="Times New Roman"/>
          <w:lang w:val="en-CA"/>
        </w:rPr>
        <w:t>private member</w:t>
      </w:r>
      <w:r w:rsidR="00912EC7">
        <w:rPr>
          <w:rFonts w:ascii="Times New Roman" w:hAnsi="Times New Roman" w:cs="Times New Roman"/>
          <w:lang w:val="en-CA"/>
        </w:rPr>
        <w:t>’</w:t>
      </w:r>
      <w:r w:rsidR="00D65839" w:rsidRPr="00CC5771">
        <w:rPr>
          <w:rFonts w:ascii="Times New Roman" w:hAnsi="Times New Roman" w:cs="Times New Roman"/>
          <w:lang w:val="en-CA"/>
        </w:rPr>
        <w:t>s bill that made it through the House of Commons but</w:t>
      </w:r>
      <w:r w:rsidR="004B3EB1" w:rsidRPr="00CC5771">
        <w:rPr>
          <w:rFonts w:ascii="Times New Roman" w:hAnsi="Times New Roman" w:cs="Times New Roman"/>
          <w:lang w:val="en-CA"/>
        </w:rPr>
        <w:t xml:space="preserve"> ultimately died on the order paper when an election </w:t>
      </w:r>
      <w:r w:rsidR="00D578D6" w:rsidRPr="00CC5771">
        <w:rPr>
          <w:rFonts w:ascii="Times New Roman" w:hAnsi="Times New Roman" w:cs="Times New Roman"/>
          <w:lang w:val="en-CA"/>
        </w:rPr>
        <w:t>was called</w:t>
      </w:r>
      <w:r w:rsidR="004B3EB1" w:rsidRPr="00CC5771">
        <w:rPr>
          <w:rFonts w:ascii="Times New Roman" w:hAnsi="Times New Roman" w:cs="Times New Roman"/>
          <w:lang w:val="en-CA"/>
        </w:rPr>
        <w:t xml:space="preserve">, initially sought to add “gender identity” and “gender expression” to both the </w:t>
      </w:r>
      <w:r w:rsidR="004B3EB1" w:rsidRPr="00CC5771">
        <w:rPr>
          <w:rFonts w:ascii="Times New Roman" w:hAnsi="Times New Roman" w:cs="Times New Roman"/>
          <w:i/>
          <w:lang w:val="en-CA"/>
        </w:rPr>
        <w:t>Canadian Human Rights Act</w:t>
      </w:r>
      <w:r w:rsidR="004B3EB1" w:rsidRPr="00CC5771">
        <w:rPr>
          <w:rFonts w:ascii="Times New Roman" w:hAnsi="Times New Roman" w:cs="Times New Roman"/>
          <w:lang w:val="en-CA"/>
        </w:rPr>
        <w:t xml:space="preserve"> and the hate crimes provisions of the </w:t>
      </w:r>
      <w:r w:rsidR="004B3EB1" w:rsidRPr="00CC5771">
        <w:rPr>
          <w:rFonts w:ascii="Times New Roman" w:hAnsi="Times New Roman" w:cs="Times New Roman"/>
          <w:i/>
          <w:lang w:val="en-CA"/>
        </w:rPr>
        <w:t>Criminal Code</w:t>
      </w:r>
      <w:r w:rsidR="004B3EB1" w:rsidRPr="00CC5771">
        <w:rPr>
          <w:rFonts w:ascii="Times New Roman" w:hAnsi="Times New Roman" w:cs="Times New Roman"/>
          <w:lang w:val="en-CA"/>
        </w:rPr>
        <w:t>.</w:t>
      </w:r>
      <w:r w:rsidR="004B3EB1" w:rsidRPr="00CC5771">
        <w:rPr>
          <w:rStyle w:val="FootnoteReference"/>
          <w:rFonts w:ascii="Times New Roman" w:hAnsi="Times New Roman" w:cs="Times New Roman"/>
          <w:lang w:val="en-CA"/>
        </w:rPr>
        <w:footnoteReference w:id="74"/>
      </w:r>
      <w:r w:rsidR="004B3EB1" w:rsidRPr="00CC5771">
        <w:rPr>
          <w:rFonts w:ascii="Times New Roman" w:hAnsi="Times New Roman" w:cs="Times New Roman"/>
          <w:lang w:val="en-CA"/>
        </w:rPr>
        <w:t xml:space="preserve"> Fearing that the legislation </w:t>
      </w:r>
      <w:r w:rsidRPr="00CC5771">
        <w:rPr>
          <w:rFonts w:ascii="Times New Roman" w:hAnsi="Times New Roman" w:cs="Times New Roman"/>
          <w:lang w:val="en-CA"/>
        </w:rPr>
        <w:t xml:space="preserve">would fail unless it was </w:t>
      </w:r>
      <w:r w:rsidR="003375A4" w:rsidRPr="00CC5771">
        <w:rPr>
          <w:rFonts w:ascii="Times New Roman" w:hAnsi="Times New Roman" w:cs="Times New Roman"/>
          <w:lang w:val="en-CA"/>
        </w:rPr>
        <w:t xml:space="preserve">more </w:t>
      </w:r>
      <w:r w:rsidR="001422B5" w:rsidRPr="00CC5771">
        <w:rPr>
          <w:rFonts w:ascii="Times New Roman" w:hAnsi="Times New Roman" w:cs="Times New Roman"/>
          <w:lang w:val="en-CA"/>
        </w:rPr>
        <w:t>narrowly circumscribed</w:t>
      </w:r>
      <w:r w:rsidRPr="00CC5771">
        <w:rPr>
          <w:rFonts w:ascii="Times New Roman" w:hAnsi="Times New Roman" w:cs="Times New Roman"/>
          <w:lang w:val="en-CA"/>
        </w:rPr>
        <w:t xml:space="preserve">, </w:t>
      </w:r>
      <w:r w:rsidR="00FD2B9F" w:rsidRPr="00CC5771">
        <w:rPr>
          <w:rFonts w:ascii="Times New Roman" w:hAnsi="Times New Roman" w:cs="Times New Roman"/>
          <w:lang w:val="en-CA"/>
        </w:rPr>
        <w:t xml:space="preserve">some </w:t>
      </w:r>
      <w:r w:rsidRPr="00CC5771">
        <w:rPr>
          <w:rFonts w:ascii="Times New Roman" w:hAnsi="Times New Roman" w:cs="Times New Roman"/>
          <w:lang w:val="en-CA"/>
        </w:rPr>
        <w:t>proponents of the legislation made the</w:t>
      </w:r>
      <w:r w:rsidR="00A91882" w:rsidRPr="00CC5771">
        <w:rPr>
          <w:rFonts w:ascii="Times New Roman" w:hAnsi="Times New Roman" w:cs="Times New Roman"/>
          <w:lang w:val="en-CA"/>
        </w:rPr>
        <w:t xml:space="preserve"> difficult</w:t>
      </w:r>
      <w:r w:rsidRPr="00CC5771">
        <w:rPr>
          <w:rFonts w:ascii="Times New Roman" w:hAnsi="Times New Roman" w:cs="Times New Roman"/>
          <w:lang w:val="en-CA"/>
        </w:rPr>
        <w:t xml:space="preserve"> decision to excise “gender expression”</w:t>
      </w:r>
      <w:r w:rsidR="00D65839" w:rsidRPr="00CC5771">
        <w:rPr>
          <w:rFonts w:ascii="Times New Roman" w:hAnsi="Times New Roman" w:cs="Times New Roman"/>
          <w:lang w:val="en-CA"/>
        </w:rPr>
        <w:t xml:space="preserve"> from the law</w:t>
      </w:r>
      <w:r w:rsidRPr="00CC5771">
        <w:rPr>
          <w:rFonts w:ascii="Times New Roman" w:hAnsi="Times New Roman" w:cs="Times New Roman"/>
          <w:lang w:val="en-CA"/>
        </w:rPr>
        <w:t xml:space="preserve"> altogether.</w:t>
      </w:r>
      <w:r w:rsidRPr="00CC5771">
        <w:rPr>
          <w:rStyle w:val="FootnoteReference"/>
          <w:rFonts w:ascii="Times New Roman" w:hAnsi="Times New Roman" w:cs="Times New Roman"/>
          <w:lang w:val="en-CA"/>
        </w:rPr>
        <w:footnoteReference w:id="75"/>
      </w:r>
      <w:r w:rsidRPr="00CC5771">
        <w:rPr>
          <w:rFonts w:ascii="Times New Roman" w:hAnsi="Times New Roman" w:cs="Times New Roman"/>
          <w:lang w:val="en-CA"/>
        </w:rPr>
        <w:t xml:space="preserve"> </w:t>
      </w:r>
      <w:r w:rsidR="00D33882" w:rsidRPr="00CC5771">
        <w:rPr>
          <w:rFonts w:ascii="Times New Roman" w:hAnsi="Times New Roman" w:cs="Times New Roman"/>
          <w:lang w:val="en-CA"/>
        </w:rPr>
        <w:t>Allyson M. Lunny</w:t>
      </w:r>
      <w:r w:rsidRPr="00CC5771">
        <w:rPr>
          <w:rFonts w:ascii="Times New Roman" w:hAnsi="Times New Roman" w:cs="Times New Roman"/>
          <w:lang w:val="en-CA"/>
        </w:rPr>
        <w:t xml:space="preserve"> argues that the tendency on the parts of courts, tribunals, and lawmakers to prefer fixed, narrowly </w:t>
      </w:r>
      <w:r w:rsidR="00EE5126" w:rsidRPr="00CC5771">
        <w:rPr>
          <w:rFonts w:ascii="Times New Roman" w:hAnsi="Times New Roman" w:cs="Times New Roman"/>
          <w:lang w:val="en-CA"/>
        </w:rPr>
        <w:t>bounded</w:t>
      </w:r>
      <w:r w:rsidRPr="00CC5771">
        <w:rPr>
          <w:rFonts w:ascii="Times New Roman" w:hAnsi="Times New Roman" w:cs="Times New Roman"/>
          <w:lang w:val="en-CA"/>
        </w:rPr>
        <w:t xml:space="preserve"> </w:t>
      </w:r>
      <w:r w:rsidR="003873C9" w:rsidRPr="00CC5771">
        <w:rPr>
          <w:rFonts w:ascii="Times New Roman" w:hAnsi="Times New Roman" w:cs="Times New Roman"/>
          <w:lang w:val="en-CA"/>
        </w:rPr>
        <w:t xml:space="preserve">grounds </w:t>
      </w:r>
      <w:r w:rsidRPr="00CC5771">
        <w:rPr>
          <w:rFonts w:ascii="Times New Roman" w:hAnsi="Times New Roman" w:cs="Times New Roman"/>
          <w:lang w:val="en-CA"/>
        </w:rPr>
        <w:t>reaches beyond the Canadian experience, extending into other jurisdictions such as the United States.</w:t>
      </w:r>
      <w:r w:rsidRPr="00CC5771">
        <w:rPr>
          <w:rStyle w:val="FootnoteReference"/>
          <w:rFonts w:ascii="Times New Roman" w:hAnsi="Times New Roman" w:cs="Times New Roman"/>
          <w:lang w:val="en-CA"/>
        </w:rPr>
        <w:footnoteReference w:id="76"/>
      </w:r>
      <w:r w:rsidR="00694325" w:rsidRPr="00CC5771">
        <w:rPr>
          <w:rFonts w:ascii="Times New Roman" w:hAnsi="Times New Roman" w:cs="Times New Roman"/>
          <w:lang w:val="en-CA"/>
        </w:rPr>
        <w:t xml:space="preserve"> </w:t>
      </w:r>
    </w:p>
    <w:p w14:paraId="5CF93741" w14:textId="72CA0335" w:rsidR="00694325" w:rsidRPr="00CC5771" w:rsidRDefault="008D7104"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While</w:t>
      </w:r>
      <w:r w:rsidR="00C37F73" w:rsidRPr="00CC5771">
        <w:rPr>
          <w:rFonts w:ascii="Times New Roman" w:hAnsi="Times New Roman" w:cs="Times New Roman"/>
          <w:lang w:val="en-CA"/>
        </w:rPr>
        <w:t xml:space="preserve"> a variety of actors </w:t>
      </w:r>
      <w:r w:rsidR="003375A4" w:rsidRPr="00CC5771">
        <w:rPr>
          <w:rFonts w:ascii="Times New Roman" w:hAnsi="Times New Roman" w:cs="Times New Roman"/>
          <w:lang w:val="en-CA"/>
        </w:rPr>
        <w:t>in</w:t>
      </w:r>
      <w:r w:rsidR="00C37F73" w:rsidRPr="00CC5771">
        <w:rPr>
          <w:rFonts w:ascii="Times New Roman" w:hAnsi="Times New Roman" w:cs="Times New Roman"/>
          <w:lang w:val="en-CA"/>
        </w:rPr>
        <w:t xml:space="preserve"> human rights commissions, tribunals, and </w:t>
      </w:r>
      <w:r w:rsidR="00E4538B" w:rsidRPr="00CC5771">
        <w:rPr>
          <w:rFonts w:ascii="Times New Roman" w:hAnsi="Times New Roman" w:cs="Times New Roman"/>
          <w:lang w:val="en-CA"/>
        </w:rPr>
        <w:t>legislatures</w:t>
      </w:r>
      <w:r w:rsidR="00C37F73" w:rsidRPr="00CC5771">
        <w:rPr>
          <w:rFonts w:ascii="Times New Roman" w:hAnsi="Times New Roman" w:cs="Times New Roman"/>
          <w:lang w:val="en-CA"/>
        </w:rPr>
        <w:t xml:space="preserve"> </w:t>
      </w:r>
      <w:r w:rsidR="00FD2B9F" w:rsidRPr="00CC5771">
        <w:rPr>
          <w:rFonts w:ascii="Times New Roman" w:hAnsi="Times New Roman" w:cs="Times New Roman"/>
          <w:lang w:val="en-CA"/>
        </w:rPr>
        <w:t xml:space="preserve">have provided clues about the </w:t>
      </w:r>
      <w:r w:rsidR="00084A2F" w:rsidRPr="00CC5771">
        <w:rPr>
          <w:rFonts w:ascii="Times New Roman" w:hAnsi="Times New Roman" w:cs="Times New Roman"/>
          <w:lang w:val="en-CA"/>
        </w:rPr>
        <w:t>meaning</w:t>
      </w:r>
      <w:r w:rsidR="00FD2B9F" w:rsidRPr="00CC5771">
        <w:rPr>
          <w:rFonts w:ascii="Times New Roman" w:hAnsi="Times New Roman" w:cs="Times New Roman"/>
          <w:lang w:val="en-CA"/>
        </w:rPr>
        <w:t xml:space="preserve"> of </w:t>
      </w:r>
      <w:r w:rsidR="00C37F73" w:rsidRPr="00CC5771">
        <w:rPr>
          <w:rFonts w:ascii="Times New Roman" w:hAnsi="Times New Roman" w:cs="Times New Roman"/>
          <w:lang w:val="en-CA"/>
        </w:rPr>
        <w:t>“gender identity” and “gender expression</w:t>
      </w:r>
      <w:r w:rsidR="00C46EB4" w:rsidRPr="00CC5771">
        <w:rPr>
          <w:rFonts w:ascii="Times New Roman" w:hAnsi="Times New Roman" w:cs="Times New Roman"/>
          <w:lang w:val="en-CA"/>
        </w:rPr>
        <w:t>,</w:t>
      </w:r>
      <w:r w:rsidR="00C37F73" w:rsidRPr="00CC5771">
        <w:rPr>
          <w:rFonts w:ascii="Times New Roman" w:hAnsi="Times New Roman" w:cs="Times New Roman"/>
          <w:lang w:val="en-CA"/>
        </w:rPr>
        <w:t>” analyses that focus on a narrow set of</w:t>
      </w:r>
      <w:r w:rsidR="00C46EB4" w:rsidRPr="00CC5771">
        <w:rPr>
          <w:rFonts w:ascii="Times New Roman" w:hAnsi="Times New Roman" w:cs="Times New Roman"/>
          <w:lang w:val="en-CA"/>
        </w:rPr>
        <w:t xml:space="preserve"> constitutive</w:t>
      </w:r>
      <w:r w:rsidR="00C37F73" w:rsidRPr="00CC5771">
        <w:rPr>
          <w:rFonts w:ascii="Times New Roman" w:hAnsi="Times New Roman" w:cs="Times New Roman"/>
          <w:lang w:val="en-CA"/>
        </w:rPr>
        <w:t xml:space="preserve"> actors are likely to produce a narrow set of conclusions about the terms</w:t>
      </w:r>
      <w:r w:rsidR="00912EC7">
        <w:rPr>
          <w:rFonts w:ascii="Times New Roman" w:hAnsi="Times New Roman" w:cs="Times New Roman"/>
          <w:lang w:val="en-CA"/>
        </w:rPr>
        <w:t>’</w:t>
      </w:r>
      <w:r w:rsidR="00C37F73" w:rsidRPr="00CC5771">
        <w:rPr>
          <w:rFonts w:ascii="Times New Roman" w:hAnsi="Times New Roman" w:cs="Times New Roman"/>
          <w:lang w:val="en-CA"/>
        </w:rPr>
        <w:t xml:space="preserve"> meaning</w:t>
      </w:r>
      <w:r w:rsidR="00B367AF" w:rsidRPr="00CC5771">
        <w:rPr>
          <w:rFonts w:ascii="Times New Roman" w:hAnsi="Times New Roman" w:cs="Times New Roman"/>
          <w:lang w:val="en-CA"/>
        </w:rPr>
        <w:t xml:space="preserve"> and implications</w:t>
      </w:r>
      <w:r w:rsidR="00C37F73" w:rsidRPr="00CC5771">
        <w:rPr>
          <w:rFonts w:ascii="Times New Roman" w:hAnsi="Times New Roman" w:cs="Times New Roman"/>
          <w:lang w:val="en-CA"/>
        </w:rPr>
        <w:t xml:space="preserve">. In the section that follows, </w:t>
      </w:r>
      <w:r w:rsidR="003375A4" w:rsidRPr="00CC5771">
        <w:rPr>
          <w:rFonts w:ascii="Times New Roman" w:hAnsi="Times New Roman" w:cs="Times New Roman"/>
          <w:lang w:val="en-CA"/>
        </w:rPr>
        <w:t xml:space="preserve">we turn </w:t>
      </w:r>
      <w:r w:rsidR="00C37F73" w:rsidRPr="00CC5771">
        <w:rPr>
          <w:rFonts w:ascii="Times New Roman" w:hAnsi="Times New Roman" w:cs="Times New Roman"/>
          <w:lang w:val="en-CA"/>
        </w:rPr>
        <w:t xml:space="preserve">to school boards as </w:t>
      </w:r>
      <w:r w:rsidR="00E4538B" w:rsidRPr="00CC5771">
        <w:rPr>
          <w:rFonts w:ascii="Times New Roman" w:hAnsi="Times New Roman" w:cs="Times New Roman"/>
          <w:lang w:val="en-CA"/>
        </w:rPr>
        <w:t>spaces</w:t>
      </w:r>
      <w:r w:rsidR="00C37F73" w:rsidRPr="00CC5771">
        <w:rPr>
          <w:rFonts w:ascii="Times New Roman" w:hAnsi="Times New Roman" w:cs="Times New Roman"/>
          <w:lang w:val="en-CA"/>
        </w:rPr>
        <w:t xml:space="preserve"> that engage in the everyday meaning-making of “gender identity” and “gender expression.”</w:t>
      </w:r>
      <w:r w:rsidR="00694325" w:rsidRPr="00CC5771">
        <w:rPr>
          <w:rFonts w:ascii="Times New Roman" w:hAnsi="Times New Roman" w:cs="Times New Roman"/>
          <w:lang w:val="en-CA"/>
        </w:rPr>
        <w:t xml:space="preserve"> </w:t>
      </w:r>
      <w:r w:rsidR="00D65839" w:rsidRPr="00CC5771">
        <w:rPr>
          <w:rFonts w:ascii="Times New Roman" w:hAnsi="Times New Roman" w:cs="Times New Roman"/>
          <w:lang w:val="en-CA"/>
        </w:rPr>
        <w:t xml:space="preserve">It is by turning to </w:t>
      </w:r>
      <w:r w:rsidR="003375A4" w:rsidRPr="00CC5771">
        <w:rPr>
          <w:rFonts w:ascii="Times New Roman" w:hAnsi="Times New Roman" w:cs="Times New Roman"/>
          <w:lang w:val="en-CA"/>
        </w:rPr>
        <w:t>these</w:t>
      </w:r>
      <w:r w:rsidR="00D65839" w:rsidRPr="00CC5771">
        <w:rPr>
          <w:rFonts w:ascii="Times New Roman" w:hAnsi="Times New Roman" w:cs="Times New Roman"/>
          <w:lang w:val="en-CA"/>
        </w:rPr>
        <w:t xml:space="preserve"> sites, we argue, that </w:t>
      </w:r>
      <w:r w:rsidR="00855EDD" w:rsidRPr="00CC5771">
        <w:rPr>
          <w:rFonts w:ascii="Times New Roman" w:hAnsi="Times New Roman" w:cs="Times New Roman"/>
          <w:lang w:val="en-CA"/>
        </w:rPr>
        <w:t xml:space="preserve">we </w:t>
      </w:r>
      <w:r w:rsidR="004F4DB4" w:rsidRPr="00CC5771">
        <w:rPr>
          <w:rFonts w:ascii="Times New Roman" w:hAnsi="Times New Roman" w:cs="Times New Roman"/>
          <w:lang w:val="en-CA"/>
        </w:rPr>
        <w:t>arrive at</w:t>
      </w:r>
      <w:r w:rsidR="00855EDD" w:rsidRPr="00CC5771">
        <w:rPr>
          <w:rFonts w:ascii="Times New Roman" w:hAnsi="Times New Roman" w:cs="Times New Roman"/>
          <w:lang w:val="en-CA"/>
        </w:rPr>
        <w:t xml:space="preserve"> a far more nuanced portrait about the emerging interpretive </w:t>
      </w:r>
      <w:r w:rsidR="00FD2B9F" w:rsidRPr="00CC5771">
        <w:rPr>
          <w:rFonts w:ascii="Times New Roman" w:hAnsi="Times New Roman" w:cs="Times New Roman"/>
          <w:lang w:val="en-CA"/>
        </w:rPr>
        <w:t>landscape</w:t>
      </w:r>
      <w:r w:rsidR="00855EDD" w:rsidRPr="00CC5771">
        <w:rPr>
          <w:rFonts w:ascii="Times New Roman" w:hAnsi="Times New Roman" w:cs="Times New Roman"/>
          <w:lang w:val="en-CA"/>
        </w:rPr>
        <w:t xml:space="preserve"> of “gender</w:t>
      </w:r>
      <w:r w:rsidR="0018166C" w:rsidRPr="00CC5771">
        <w:rPr>
          <w:rFonts w:ascii="Times New Roman" w:hAnsi="Times New Roman" w:cs="Times New Roman"/>
          <w:lang w:val="en-CA"/>
        </w:rPr>
        <w:t xml:space="preserve"> identity</w:t>
      </w:r>
      <w:r w:rsidR="00855EDD" w:rsidRPr="00CC5771">
        <w:rPr>
          <w:rFonts w:ascii="Times New Roman" w:hAnsi="Times New Roman" w:cs="Times New Roman"/>
          <w:lang w:val="en-CA"/>
        </w:rPr>
        <w:t xml:space="preserve">” and “gender expression,” along with the </w:t>
      </w:r>
      <w:r w:rsidR="00855EDD" w:rsidRPr="00CC5771">
        <w:rPr>
          <w:rFonts w:ascii="Times New Roman" w:hAnsi="Times New Roman" w:cs="Times New Roman"/>
          <w:lang w:val="en-CA"/>
        </w:rPr>
        <w:lastRenderedPageBreak/>
        <w:t xml:space="preserve">promise </w:t>
      </w:r>
      <w:r w:rsidR="007F6D6C" w:rsidRPr="00CC5771">
        <w:rPr>
          <w:rFonts w:ascii="Times New Roman" w:hAnsi="Times New Roman" w:cs="Times New Roman"/>
          <w:lang w:val="en-CA"/>
        </w:rPr>
        <w:t>that</w:t>
      </w:r>
      <w:r w:rsidR="00D65839" w:rsidRPr="00CC5771">
        <w:rPr>
          <w:rFonts w:ascii="Times New Roman" w:hAnsi="Times New Roman" w:cs="Times New Roman"/>
          <w:lang w:val="en-CA"/>
        </w:rPr>
        <w:t xml:space="preserve"> legis</w:t>
      </w:r>
      <w:r w:rsidR="00855EDD" w:rsidRPr="00CC5771">
        <w:rPr>
          <w:rFonts w:ascii="Times New Roman" w:hAnsi="Times New Roman" w:cs="Times New Roman"/>
          <w:lang w:val="en-CA"/>
        </w:rPr>
        <w:t xml:space="preserve">lative reform might </w:t>
      </w:r>
      <w:r w:rsidR="007F6D6C" w:rsidRPr="00CC5771">
        <w:rPr>
          <w:rFonts w:ascii="Times New Roman" w:hAnsi="Times New Roman" w:cs="Times New Roman"/>
          <w:lang w:val="en-CA"/>
        </w:rPr>
        <w:t xml:space="preserve">improve the </w:t>
      </w:r>
      <w:r w:rsidR="008A3AA8" w:rsidRPr="00CC5771">
        <w:rPr>
          <w:rFonts w:ascii="Times New Roman" w:hAnsi="Times New Roman" w:cs="Times New Roman"/>
          <w:lang w:val="en-CA"/>
        </w:rPr>
        <w:t>experiences</w:t>
      </w:r>
      <w:r w:rsidR="007F6D6C" w:rsidRPr="00CC5771">
        <w:rPr>
          <w:rFonts w:ascii="Times New Roman" w:hAnsi="Times New Roman" w:cs="Times New Roman"/>
          <w:lang w:val="en-CA"/>
        </w:rPr>
        <w:t xml:space="preserve"> of</w:t>
      </w:r>
      <w:r w:rsidR="00855EDD" w:rsidRPr="00CC5771">
        <w:rPr>
          <w:rFonts w:ascii="Times New Roman" w:hAnsi="Times New Roman" w:cs="Times New Roman"/>
          <w:lang w:val="en-CA"/>
        </w:rPr>
        <w:t xml:space="preserve"> t</w:t>
      </w:r>
      <w:r w:rsidR="00365D1C" w:rsidRPr="00CC5771">
        <w:rPr>
          <w:rFonts w:ascii="Times New Roman" w:hAnsi="Times New Roman" w:cs="Times New Roman"/>
          <w:lang w:val="en-CA"/>
        </w:rPr>
        <w:t>ransgender</w:t>
      </w:r>
      <w:r w:rsidR="00855EDD" w:rsidRPr="00CC5771">
        <w:rPr>
          <w:rFonts w:ascii="Times New Roman" w:hAnsi="Times New Roman" w:cs="Times New Roman"/>
          <w:lang w:val="en-CA"/>
        </w:rPr>
        <w:t xml:space="preserve"> and/or non-binary communities and beyond</w:t>
      </w:r>
      <w:r w:rsidR="008017FE" w:rsidRPr="00CC5771">
        <w:rPr>
          <w:rFonts w:ascii="Times New Roman" w:hAnsi="Times New Roman" w:cs="Times New Roman"/>
          <w:lang w:val="en-CA"/>
        </w:rPr>
        <w:t xml:space="preserve">. This study builds on the existing trans legal studies scholarship by </w:t>
      </w:r>
      <w:r w:rsidR="00936DA7" w:rsidRPr="00CC5771">
        <w:rPr>
          <w:rFonts w:ascii="Times New Roman" w:hAnsi="Times New Roman" w:cs="Times New Roman"/>
          <w:lang w:val="en-CA"/>
        </w:rPr>
        <w:t xml:space="preserve">empirically demonstrating </w:t>
      </w:r>
      <w:r w:rsidR="008017FE" w:rsidRPr="00CC5771">
        <w:rPr>
          <w:rFonts w:ascii="Times New Roman" w:hAnsi="Times New Roman" w:cs="Times New Roman"/>
          <w:lang w:val="en-CA"/>
        </w:rPr>
        <w:t>how human rights protections may</w:t>
      </w:r>
      <w:r w:rsidR="003375A4" w:rsidRPr="00CC5771">
        <w:rPr>
          <w:rFonts w:ascii="Times New Roman" w:hAnsi="Times New Roman" w:cs="Times New Roman"/>
          <w:lang w:val="en-CA"/>
        </w:rPr>
        <w:t xml:space="preserve"> open up space for the making of</w:t>
      </w:r>
      <w:r w:rsidR="008017FE" w:rsidRPr="00CC5771">
        <w:rPr>
          <w:rFonts w:ascii="Times New Roman" w:hAnsi="Times New Roman" w:cs="Times New Roman"/>
          <w:lang w:val="en-CA"/>
        </w:rPr>
        <w:t xml:space="preserve"> </w:t>
      </w:r>
      <w:r w:rsidR="003375A4" w:rsidRPr="00CC5771">
        <w:rPr>
          <w:rFonts w:ascii="Times New Roman" w:hAnsi="Times New Roman" w:cs="Times New Roman"/>
          <w:lang w:val="en-CA"/>
        </w:rPr>
        <w:t xml:space="preserve">new </w:t>
      </w:r>
      <w:r w:rsidR="008017FE" w:rsidRPr="00CC5771">
        <w:rPr>
          <w:rFonts w:ascii="Times New Roman" w:hAnsi="Times New Roman" w:cs="Times New Roman"/>
          <w:lang w:val="en-CA"/>
        </w:rPr>
        <w:t xml:space="preserve">everyday norms and practices. </w:t>
      </w:r>
    </w:p>
    <w:p w14:paraId="0C1DCF03" w14:textId="3E2F0B4A" w:rsidR="009432AF" w:rsidRPr="00CC5771" w:rsidRDefault="00A829C4" w:rsidP="004D0F4E">
      <w:pPr>
        <w:spacing w:after="240" w:line="480" w:lineRule="auto"/>
        <w:rPr>
          <w:rFonts w:ascii="Times New Roman" w:hAnsi="Times New Roman" w:cs="Times New Roman"/>
          <w:lang w:val="en-CA"/>
        </w:rPr>
      </w:pPr>
      <w:r w:rsidRPr="00CC5771">
        <w:rPr>
          <w:rFonts w:ascii="Times New Roman" w:hAnsi="Times New Roman" w:cs="Times New Roman"/>
          <w:b/>
          <w:lang w:val="en-CA"/>
        </w:rPr>
        <w:t>III</w:t>
      </w:r>
      <w:r w:rsidR="0099173F" w:rsidRPr="00CC5771">
        <w:rPr>
          <w:rFonts w:ascii="Times New Roman" w:hAnsi="Times New Roman" w:cs="Times New Roman"/>
          <w:b/>
          <w:lang w:val="en-CA"/>
        </w:rPr>
        <w:t>.</w:t>
      </w:r>
      <w:r w:rsidRPr="00CC5771">
        <w:rPr>
          <w:rFonts w:ascii="Times New Roman" w:hAnsi="Times New Roman" w:cs="Times New Roman"/>
          <w:b/>
          <w:lang w:val="en-CA"/>
        </w:rPr>
        <w:t xml:space="preserve"> </w:t>
      </w:r>
      <w:r w:rsidR="007C2938" w:rsidRPr="00CC5771">
        <w:rPr>
          <w:rFonts w:ascii="Times New Roman" w:hAnsi="Times New Roman" w:cs="Times New Roman"/>
          <w:b/>
          <w:lang w:val="en-CA"/>
        </w:rPr>
        <w:t>Case Study: The Making of Gender Identity and Gender Expression in Ontario</w:t>
      </w:r>
      <w:r w:rsidR="007C2938">
        <w:rPr>
          <w:rFonts w:ascii="Times New Roman" w:hAnsi="Times New Roman" w:cs="Times New Roman"/>
          <w:b/>
          <w:lang w:val="en-CA"/>
        </w:rPr>
        <w:t>’</w:t>
      </w:r>
      <w:r w:rsidR="007C2938" w:rsidRPr="00CC5771">
        <w:rPr>
          <w:rFonts w:ascii="Times New Roman" w:hAnsi="Times New Roman" w:cs="Times New Roman"/>
          <w:b/>
          <w:lang w:val="en-CA"/>
        </w:rPr>
        <w:t>s Public Secular School Boards</w:t>
      </w:r>
    </w:p>
    <w:p w14:paraId="0803C09B" w14:textId="323F0E3D" w:rsidR="00B911FD" w:rsidRPr="00CC5771" w:rsidRDefault="00240CFF"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 xml:space="preserve">In order to attend to the complex </w:t>
      </w:r>
      <w:r w:rsidR="009F1328" w:rsidRPr="00CC5771">
        <w:rPr>
          <w:rFonts w:ascii="Times New Roman" w:hAnsi="Times New Roman" w:cs="Times New Roman"/>
          <w:lang w:val="en-CA"/>
        </w:rPr>
        <w:t xml:space="preserve">ways that </w:t>
      </w:r>
      <w:r w:rsidR="003375A4" w:rsidRPr="00CC5771">
        <w:rPr>
          <w:rFonts w:ascii="Times New Roman" w:hAnsi="Times New Roman" w:cs="Times New Roman"/>
          <w:lang w:val="en-CA"/>
        </w:rPr>
        <w:t>a variety of actors</w:t>
      </w:r>
      <w:r w:rsidR="009F1328" w:rsidRPr="00CC5771">
        <w:rPr>
          <w:rFonts w:ascii="Times New Roman" w:hAnsi="Times New Roman" w:cs="Times New Roman"/>
          <w:lang w:val="en-CA"/>
        </w:rPr>
        <w:t xml:space="preserve"> participate in bringing human rights categories to life</w:t>
      </w:r>
      <w:r w:rsidR="00AE492F" w:rsidRPr="00CC5771">
        <w:rPr>
          <w:rFonts w:ascii="Times New Roman" w:hAnsi="Times New Roman" w:cs="Times New Roman"/>
          <w:lang w:val="en-CA"/>
        </w:rPr>
        <w:t xml:space="preserve"> </w:t>
      </w:r>
      <w:r w:rsidR="004B77A9" w:rsidRPr="00CC5771">
        <w:rPr>
          <w:rFonts w:ascii="Times New Roman" w:hAnsi="Times New Roman" w:cs="Times New Roman"/>
          <w:lang w:val="en-CA"/>
        </w:rPr>
        <w:t>outside</w:t>
      </w:r>
      <w:r w:rsidR="00AE492F" w:rsidRPr="00CC5771">
        <w:rPr>
          <w:rFonts w:ascii="Times New Roman" w:hAnsi="Times New Roman" w:cs="Times New Roman"/>
          <w:lang w:val="en-CA"/>
        </w:rPr>
        <w:t xml:space="preserve"> courts and tribunals</w:t>
      </w:r>
      <w:r w:rsidR="009F1328" w:rsidRPr="00CC5771">
        <w:rPr>
          <w:rFonts w:ascii="Times New Roman" w:hAnsi="Times New Roman" w:cs="Times New Roman"/>
          <w:lang w:val="en-CA"/>
        </w:rPr>
        <w:t xml:space="preserve">, this section </w:t>
      </w:r>
      <w:r w:rsidR="001650A9" w:rsidRPr="00CC5771">
        <w:rPr>
          <w:rFonts w:ascii="Times New Roman" w:hAnsi="Times New Roman" w:cs="Times New Roman"/>
          <w:lang w:val="en-CA"/>
        </w:rPr>
        <w:t>examines how Ontario</w:t>
      </w:r>
      <w:r w:rsidR="00912EC7">
        <w:rPr>
          <w:rFonts w:ascii="Times New Roman" w:hAnsi="Times New Roman" w:cs="Times New Roman"/>
          <w:lang w:val="en-CA"/>
        </w:rPr>
        <w:t>’</w:t>
      </w:r>
      <w:r w:rsidR="001650A9" w:rsidRPr="00CC5771">
        <w:rPr>
          <w:rFonts w:ascii="Times New Roman" w:hAnsi="Times New Roman" w:cs="Times New Roman"/>
          <w:lang w:val="en-CA"/>
        </w:rPr>
        <w:t xml:space="preserve">s secular school boards </w:t>
      </w:r>
      <w:r w:rsidR="00D04D5E" w:rsidRPr="00CC5771">
        <w:rPr>
          <w:rFonts w:ascii="Times New Roman" w:hAnsi="Times New Roman" w:cs="Times New Roman"/>
          <w:lang w:val="en-CA"/>
        </w:rPr>
        <w:t xml:space="preserve">have </w:t>
      </w:r>
      <w:r w:rsidR="001650A9" w:rsidRPr="00CC5771">
        <w:rPr>
          <w:rFonts w:ascii="Times New Roman" w:hAnsi="Times New Roman" w:cs="Times New Roman"/>
          <w:lang w:val="en-CA"/>
        </w:rPr>
        <w:t xml:space="preserve">responded to the passage of </w:t>
      </w:r>
      <w:r w:rsidR="001650A9" w:rsidRPr="00CC5771">
        <w:rPr>
          <w:rFonts w:ascii="Times New Roman" w:hAnsi="Times New Roman" w:cs="Times New Roman"/>
          <w:i/>
          <w:lang w:val="en-CA"/>
        </w:rPr>
        <w:t>Toby</w:t>
      </w:r>
      <w:r w:rsidR="00912EC7">
        <w:rPr>
          <w:rFonts w:ascii="Times New Roman" w:hAnsi="Times New Roman" w:cs="Times New Roman"/>
          <w:i/>
          <w:lang w:val="en-CA"/>
        </w:rPr>
        <w:t>’</w:t>
      </w:r>
      <w:r w:rsidR="001650A9" w:rsidRPr="00CC5771">
        <w:rPr>
          <w:rFonts w:ascii="Times New Roman" w:hAnsi="Times New Roman" w:cs="Times New Roman"/>
          <w:i/>
          <w:lang w:val="en-CA"/>
        </w:rPr>
        <w:t>s Act</w:t>
      </w:r>
      <w:r w:rsidR="00174726" w:rsidRPr="00CC5771">
        <w:rPr>
          <w:rFonts w:ascii="Times New Roman" w:hAnsi="Times New Roman" w:cs="Times New Roman"/>
          <w:lang w:val="en-CA"/>
        </w:rPr>
        <w:t xml:space="preserve"> in 2012 in a series of policy documents</w:t>
      </w:r>
      <w:r w:rsidR="001650A9" w:rsidRPr="00CC5771">
        <w:rPr>
          <w:rFonts w:ascii="Times New Roman" w:hAnsi="Times New Roman" w:cs="Times New Roman"/>
          <w:lang w:val="en-CA"/>
        </w:rPr>
        <w:t xml:space="preserve">. By carefully reading these </w:t>
      </w:r>
      <w:r w:rsidR="00AE492F" w:rsidRPr="00CC5771">
        <w:rPr>
          <w:rFonts w:ascii="Times New Roman" w:hAnsi="Times New Roman" w:cs="Times New Roman"/>
          <w:lang w:val="en-CA"/>
        </w:rPr>
        <w:t>policies</w:t>
      </w:r>
      <w:r w:rsidR="001650A9" w:rsidRPr="00CC5771">
        <w:rPr>
          <w:rFonts w:ascii="Times New Roman" w:hAnsi="Times New Roman" w:cs="Times New Roman"/>
          <w:lang w:val="en-CA"/>
        </w:rPr>
        <w:t>, much can be learned about</w:t>
      </w:r>
      <w:r w:rsidR="00A91882" w:rsidRPr="00CC5771">
        <w:rPr>
          <w:rFonts w:ascii="Times New Roman" w:hAnsi="Times New Roman" w:cs="Times New Roman"/>
          <w:lang w:val="en-CA"/>
        </w:rPr>
        <w:t xml:space="preserve"> how</w:t>
      </w:r>
      <w:r w:rsidR="001650A9" w:rsidRPr="00CC5771">
        <w:rPr>
          <w:rFonts w:ascii="Times New Roman" w:hAnsi="Times New Roman" w:cs="Times New Roman"/>
          <w:lang w:val="en-CA"/>
        </w:rPr>
        <w:t xml:space="preserve"> </w:t>
      </w:r>
      <w:r w:rsidR="00CF2154" w:rsidRPr="00CC5771">
        <w:rPr>
          <w:rFonts w:ascii="Times New Roman" w:hAnsi="Times New Roman" w:cs="Times New Roman"/>
          <w:lang w:val="en-CA"/>
        </w:rPr>
        <w:t xml:space="preserve">human rights protections </w:t>
      </w:r>
      <w:r w:rsidR="00C97EA9" w:rsidRPr="00CC5771">
        <w:rPr>
          <w:rFonts w:ascii="Times New Roman" w:hAnsi="Times New Roman" w:cs="Times New Roman"/>
          <w:lang w:val="en-CA"/>
        </w:rPr>
        <w:t>a</w:t>
      </w:r>
      <w:r w:rsidR="001650A9" w:rsidRPr="00CC5771">
        <w:rPr>
          <w:rFonts w:ascii="Times New Roman" w:hAnsi="Times New Roman" w:cs="Times New Roman"/>
          <w:lang w:val="en-CA"/>
        </w:rPr>
        <w:t>ffect</w:t>
      </w:r>
      <w:r w:rsidR="00A91882" w:rsidRPr="00CC5771">
        <w:rPr>
          <w:rFonts w:ascii="Times New Roman" w:hAnsi="Times New Roman" w:cs="Times New Roman"/>
          <w:lang w:val="en-CA"/>
        </w:rPr>
        <w:t>,</w:t>
      </w:r>
      <w:r w:rsidR="00C97EA9" w:rsidRPr="00CC5771">
        <w:rPr>
          <w:rFonts w:ascii="Times New Roman" w:hAnsi="Times New Roman" w:cs="Times New Roman"/>
          <w:lang w:val="en-CA"/>
        </w:rPr>
        <w:t xml:space="preserve"> and </w:t>
      </w:r>
      <w:r w:rsidR="00263DDF">
        <w:rPr>
          <w:rFonts w:ascii="Times New Roman" w:hAnsi="Times New Roman" w:cs="Times New Roman"/>
          <w:lang w:val="en-CA"/>
        </w:rPr>
        <w:t>are</w:t>
      </w:r>
      <w:r w:rsidR="00B43624" w:rsidRPr="00CC5771">
        <w:rPr>
          <w:rFonts w:ascii="Times New Roman" w:hAnsi="Times New Roman" w:cs="Times New Roman"/>
          <w:lang w:val="en-CA"/>
        </w:rPr>
        <w:t xml:space="preserve"> </w:t>
      </w:r>
      <w:r w:rsidR="00C97EA9" w:rsidRPr="00CC5771">
        <w:rPr>
          <w:rFonts w:ascii="Times New Roman" w:hAnsi="Times New Roman" w:cs="Times New Roman"/>
          <w:lang w:val="en-CA"/>
        </w:rPr>
        <w:t>shaped by</w:t>
      </w:r>
      <w:r w:rsidR="00A91882" w:rsidRPr="00CC5771">
        <w:rPr>
          <w:rFonts w:ascii="Times New Roman" w:hAnsi="Times New Roman" w:cs="Times New Roman"/>
          <w:lang w:val="en-CA"/>
        </w:rPr>
        <w:t>,</w:t>
      </w:r>
      <w:r w:rsidR="001650A9" w:rsidRPr="00CC5771">
        <w:rPr>
          <w:rFonts w:ascii="Times New Roman" w:hAnsi="Times New Roman" w:cs="Times New Roman"/>
          <w:lang w:val="en-CA"/>
        </w:rPr>
        <w:t xml:space="preserve"> the everyday work of </w:t>
      </w:r>
      <w:r w:rsidR="003375A4" w:rsidRPr="00CC5771">
        <w:rPr>
          <w:rFonts w:ascii="Times New Roman" w:hAnsi="Times New Roman" w:cs="Times New Roman"/>
          <w:lang w:val="en-CA"/>
        </w:rPr>
        <w:t>actors in schools</w:t>
      </w:r>
      <w:r w:rsidR="001650A9" w:rsidRPr="00CC5771">
        <w:rPr>
          <w:rFonts w:ascii="Times New Roman" w:hAnsi="Times New Roman" w:cs="Times New Roman"/>
          <w:lang w:val="en-CA"/>
        </w:rPr>
        <w:t xml:space="preserve">. </w:t>
      </w:r>
      <w:r w:rsidR="00BD6E08" w:rsidRPr="00CC5771">
        <w:rPr>
          <w:rFonts w:ascii="Times New Roman" w:hAnsi="Times New Roman" w:cs="Times New Roman"/>
          <w:lang w:val="en-CA"/>
        </w:rPr>
        <w:t>This section begins by setting out a</w:t>
      </w:r>
      <w:r w:rsidR="00755A8E" w:rsidRPr="00CC5771">
        <w:rPr>
          <w:rFonts w:ascii="Times New Roman" w:hAnsi="Times New Roman" w:cs="Times New Roman"/>
          <w:lang w:val="en-CA"/>
        </w:rPr>
        <w:t xml:space="preserve"> brief description of our methodology, followed by an analysis of how “gender identity” and “gender expression” </w:t>
      </w:r>
      <w:r w:rsidR="00AE492F" w:rsidRPr="00CC5771">
        <w:rPr>
          <w:rFonts w:ascii="Times New Roman" w:hAnsi="Times New Roman" w:cs="Times New Roman"/>
          <w:lang w:val="en-CA"/>
        </w:rPr>
        <w:t>have been constructed</w:t>
      </w:r>
      <w:r w:rsidR="00D7756F" w:rsidRPr="00CC5771">
        <w:rPr>
          <w:rFonts w:ascii="Times New Roman" w:hAnsi="Times New Roman" w:cs="Times New Roman"/>
          <w:lang w:val="en-CA"/>
        </w:rPr>
        <w:t xml:space="preserve"> by </w:t>
      </w:r>
      <w:r w:rsidR="00755A8E" w:rsidRPr="00CC5771">
        <w:rPr>
          <w:rFonts w:ascii="Times New Roman" w:hAnsi="Times New Roman" w:cs="Times New Roman"/>
          <w:lang w:val="en-CA"/>
        </w:rPr>
        <w:t>Ontario</w:t>
      </w:r>
      <w:r w:rsidR="00912EC7">
        <w:rPr>
          <w:rFonts w:ascii="Times New Roman" w:hAnsi="Times New Roman" w:cs="Times New Roman"/>
          <w:lang w:val="en-CA"/>
        </w:rPr>
        <w:t>’</w:t>
      </w:r>
      <w:r w:rsidR="00755A8E" w:rsidRPr="00CC5771">
        <w:rPr>
          <w:rFonts w:ascii="Times New Roman" w:hAnsi="Times New Roman" w:cs="Times New Roman"/>
          <w:lang w:val="en-CA"/>
        </w:rPr>
        <w:t xml:space="preserve">s </w:t>
      </w:r>
      <w:r w:rsidR="00D7756F" w:rsidRPr="00CC5771">
        <w:rPr>
          <w:rFonts w:ascii="Times New Roman" w:hAnsi="Times New Roman" w:cs="Times New Roman"/>
          <w:lang w:val="en-CA"/>
        </w:rPr>
        <w:t xml:space="preserve">English-language public </w:t>
      </w:r>
      <w:r w:rsidR="00755A8E" w:rsidRPr="00CC5771">
        <w:rPr>
          <w:rFonts w:ascii="Times New Roman" w:hAnsi="Times New Roman" w:cs="Times New Roman"/>
          <w:lang w:val="en-CA"/>
        </w:rPr>
        <w:t>secular school boards</w:t>
      </w:r>
      <w:r w:rsidR="00AE492F" w:rsidRPr="00CC5771">
        <w:rPr>
          <w:rFonts w:ascii="Times New Roman" w:hAnsi="Times New Roman" w:cs="Times New Roman"/>
          <w:lang w:val="en-CA"/>
        </w:rPr>
        <w:t xml:space="preserve"> since the passage of </w:t>
      </w:r>
      <w:r w:rsidR="00AE492F" w:rsidRPr="00CC5771">
        <w:rPr>
          <w:rFonts w:ascii="Times New Roman" w:hAnsi="Times New Roman" w:cs="Times New Roman"/>
          <w:i/>
          <w:lang w:val="en-CA"/>
        </w:rPr>
        <w:t>Toby</w:t>
      </w:r>
      <w:r w:rsidR="00912EC7">
        <w:rPr>
          <w:rFonts w:ascii="Times New Roman" w:hAnsi="Times New Roman" w:cs="Times New Roman"/>
          <w:i/>
          <w:lang w:val="en-CA"/>
        </w:rPr>
        <w:t>’</w:t>
      </w:r>
      <w:r w:rsidR="00AE492F" w:rsidRPr="00CC5771">
        <w:rPr>
          <w:rFonts w:ascii="Times New Roman" w:hAnsi="Times New Roman" w:cs="Times New Roman"/>
          <w:i/>
          <w:lang w:val="en-CA"/>
        </w:rPr>
        <w:t>s Act</w:t>
      </w:r>
      <w:r w:rsidR="00AE492F" w:rsidRPr="00CC5771">
        <w:rPr>
          <w:rFonts w:ascii="Times New Roman" w:hAnsi="Times New Roman" w:cs="Times New Roman"/>
          <w:lang w:val="en-CA"/>
        </w:rPr>
        <w:t xml:space="preserve"> in 2012</w:t>
      </w:r>
      <w:r w:rsidR="00755A8E" w:rsidRPr="00CC5771">
        <w:rPr>
          <w:rFonts w:ascii="Times New Roman" w:hAnsi="Times New Roman" w:cs="Times New Roman"/>
          <w:lang w:val="en-CA"/>
        </w:rPr>
        <w:t>.</w:t>
      </w:r>
    </w:p>
    <w:p w14:paraId="624B6B3D" w14:textId="3811FA3A" w:rsidR="00240CFF" w:rsidRPr="00461619" w:rsidRDefault="00B43624" w:rsidP="004D0F4E">
      <w:pPr>
        <w:spacing w:after="240" w:line="480" w:lineRule="auto"/>
        <w:rPr>
          <w:rFonts w:ascii="Times New Roman" w:hAnsi="Times New Roman" w:cs="Times New Roman"/>
          <w:b/>
          <w:u w:val="single"/>
          <w:lang w:val="en-CA"/>
        </w:rPr>
      </w:pPr>
      <w:r w:rsidRPr="00461619">
        <w:rPr>
          <w:rFonts w:ascii="Times New Roman" w:hAnsi="Times New Roman" w:cs="Times New Roman"/>
          <w:b/>
          <w:u w:val="single"/>
          <w:lang w:val="en-CA"/>
        </w:rPr>
        <w:t xml:space="preserve">1. </w:t>
      </w:r>
      <w:r w:rsidR="00755A8E" w:rsidRPr="00461619">
        <w:rPr>
          <w:rFonts w:ascii="Times New Roman" w:hAnsi="Times New Roman" w:cs="Times New Roman"/>
          <w:b/>
          <w:u w:val="single"/>
          <w:lang w:val="en-CA"/>
        </w:rPr>
        <w:t>Methodology</w:t>
      </w:r>
    </w:p>
    <w:p w14:paraId="5EFE5CE2" w14:textId="24B94229" w:rsidR="00887CC9" w:rsidRPr="00CC5771" w:rsidRDefault="00887CC9"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 xml:space="preserve">Data collection </w:t>
      </w:r>
      <w:r w:rsidR="00D577C6" w:rsidRPr="00CC5771">
        <w:rPr>
          <w:rFonts w:ascii="Times New Roman" w:hAnsi="Times New Roman" w:cs="Times New Roman"/>
          <w:lang w:val="en-CA"/>
        </w:rPr>
        <w:t xml:space="preserve">was conducted </w:t>
      </w:r>
      <w:r w:rsidRPr="00CC5771">
        <w:rPr>
          <w:rFonts w:ascii="Times New Roman" w:hAnsi="Times New Roman" w:cs="Times New Roman"/>
          <w:lang w:val="en-CA"/>
        </w:rPr>
        <w:t>systematically, one school board at a time, by two research assistants (</w:t>
      </w:r>
      <w:r w:rsidR="004373E4" w:rsidRPr="00CC5771">
        <w:rPr>
          <w:rFonts w:ascii="Times New Roman" w:hAnsi="Times New Roman" w:cs="Times New Roman"/>
          <w:lang w:val="en-CA"/>
        </w:rPr>
        <w:t xml:space="preserve">the </w:t>
      </w:r>
      <w:r w:rsidRPr="00CC5771">
        <w:rPr>
          <w:rFonts w:ascii="Times New Roman" w:hAnsi="Times New Roman" w:cs="Times New Roman"/>
          <w:lang w:val="en-CA"/>
        </w:rPr>
        <w:t xml:space="preserve">third and </w:t>
      </w:r>
      <w:r w:rsidR="008F1DF4" w:rsidRPr="00CC5771">
        <w:rPr>
          <w:rFonts w:ascii="Times New Roman" w:hAnsi="Times New Roman" w:cs="Times New Roman"/>
          <w:lang w:val="en-CA"/>
        </w:rPr>
        <w:t xml:space="preserve">fourth </w:t>
      </w:r>
      <w:r w:rsidRPr="00CC5771">
        <w:rPr>
          <w:rFonts w:ascii="Times New Roman" w:hAnsi="Times New Roman" w:cs="Times New Roman"/>
          <w:lang w:val="en-CA"/>
        </w:rPr>
        <w:t xml:space="preserve">authors) working under the supervision of the </w:t>
      </w:r>
      <w:r w:rsidR="004373E4" w:rsidRPr="00CC5771">
        <w:rPr>
          <w:rFonts w:ascii="Times New Roman" w:hAnsi="Times New Roman" w:cs="Times New Roman"/>
          <w:lang w:val="en-CA"/>
        </w:rPr>
        <w:t xml:space="preserve">second </w:t>
      </w:r>
      <w:r w:rsidRPr="00CC5771">
        <w:rPr>
          <w:rFonts w:ascii="Times New Roman" w:hAnsi="Times New Roman" w:cs="Times New Roman"/>
          <w:lang w:val="en-CA"/>
        </w:rPr>
        <w:t>author. Data collection began with Google sear</w:t>
      </w:r>
      <w:r w:rsidR="008F1DF4" w:rsidRPr="00CC5771">
        <w:rPr>
          <w:rFonts w:ascii="Times New Roman" w:hAnsi="Times New Roman" w:cs="Times New Roman"/>
          <w:lang w:val="en-CA"/>
        </w:rPr>
        <w:t>ches, internal website searches</w:t>
      </w:r>
      <w:r w:rsidRPr="00CC5771">
        <w:rPr>
          <w:rFonts w:ascii="Times New Roman" w:hAnsi="Times New Roman" w:cs="Times New Roman"/>
          <w:lang w:val="en-CA"/>
        </w:rPr>
        <w:t xml:space="preserve"> and targeted manual searches for documents containing the </w:t>
      </w:r>
      <w:r w:rsidR="00203F55" w:rsidRPr="00CC5771">
        <w:rPr>
          <w:rFonts w:ascii="Times New Roman" w:hAnsi="Times New Roman" w:cs="Times New Roman"/>
          <w:lang w:val="en-CA"/>
        </w:rPr>
        <w:t>terms</w:t>
      </w:r>
      <w:r w:rsidRPr="00CC5771">
        <w:rPr>
          <w:rFonts w:ascii="Times New Roman" w:hAnsi="Times New Roman" w:cs="Times New Roman"/>
          <w:lang w:val="en-CA"/>
        </w:rPr>
        <w:t xml:space="preserve"> </w:t>
      </w:r>
      <w:r w:rsidR="00203F55" w:rsidRPr="00CC5771">
        <w:rPr>
          <w:rFonts w:ascii="Times New Roman" w:hAnsi="Times New Roman" w:cs="Times New Roman"/>
          <w:lang w:val="en-CA"/>
        </w:rPr>
        <w:t>“gender identity” or “gender expression</w:t>
      </w:r>
      <w:r w:rsidR="009C3F79">
        <w:rPr>
          <w:rFonts w:ascii="Times New Roman" w:hAnsi="Times New Roman" w:cs="Times New Roman"/>
          <w:lang w:val="en-CA"/>
        </w:rPr>
        <w:t>,”</w:t>
      </w:r>
      <w:r w:rsidRPr="00CC5771">
        <w:rPr>
          <w:rFonts w:ascii="Times New Roman" w:hAnsi="Times New Roman" w:cs="Times New Roman"/>
          <w:lang w:val="en-CA"/>
        </w:rPr>
        <w:t xml:space="preserve"> as well as the school board name or common abbreviations. </w:t>
      </w:r>
      <w:r w:rsidR="00A91882" w:rsidRPr="00CC5771">
        <w:rPr>
          <w:rFonts w:ascii="Times New Roman" w:hAnsi="Times New Roman" w:cs="Times New Roman"/>
          <w:lang w:val="en-CA"/>
        </w:rPr>
        <w:t>We</w:t>
      </w:r>
      <w:r w:rsidRPr="00CC5771">
        <w:rPr>
          <w:rFonts w:ascii="Times New Roman" w:hAnsi="Times New Roman" w:cs="Times New Roman"/>
          <w:lang w:val="en-CA"/>
        </w:rPr>
        <w:t xml:space="preserve"> applied a number of strict sampling criteria</w:t>
      </w:r>
      <w:r w:rsidR="00A91882" w:rsidRPr="00CC5771">
        <w:rPr>
          <w:rFonts w:ascii="Times New Roman" w:hAnsi="Times New Roman" w:cs="Times New Roman"/>
          <w:lang w:val="en-CA"/>
        </w:rPr>
        <w:t xml:space="preserve"> to each resulting document</w:t>
      </w:r>
      <w:r w:rsidRPr="00CC5771">
        <w:rPr>
          <w:rFonts w:ascii="Times New Roman" w:hAnsi="Times New Roman" w:cs="Times New Roman"/>
          <w:lang w:val="en-CA"/>
        </w:rPr>
        <w:t>. In order to be included, a document had to</w:t>
      </w:r>
      <w:r w:rsidR="00203F55" w:rsidRPr="00CC5771">
        <w:rPr>
          <w:rFonts w:ascii="Times New Roman" w:hAnsi="Times New Roman" w:cs="Times New Roman"/>
          <w:lang w:val="en-CA"/>
        </w:rPr>
        <w:t xml:space="preserve"> be</w:t>
      </w:r>
      <w:r w:rsidRPr="00CC5771">
        <w:rPr>
          <w:rFonts w:ascii="Times New Roman" w:hAnsi="Times New Roman" w:cs="Times New Roman"/>
          <w:lang w:val="en-CA"/>
        </w:rPr>
        <w:t xml:space="preserve">: 1) </w:t>
      </w:r>
      <w:r w:rsidR="00203F55" w:rsidRPr="00CC5771">
        <w:rPr>
          <w:rFonts w:ascii="Times New Roman" w:hAnsi="Times New Roman" w:cs="Times New Roman"/>
          <w:lang w:val="en-CA"/>
        </w:rPr>
        <w:t>offering</w:t>
      </w:r>
      <w:r w:rsidRPr="00CC5771">
        <w:rPr>
          <w:rFonts w:ascii="Times New Roman" w:hAnsi="Times New Roman" w:cs="Times New Roman"/>
          <w:lang w:val="en-CA"/>
        </w:rPr>
        <w:t xml:space="preserve"> explicit direction or guidance to actors within </w:t>
      </w:r>
      <w:r w:rsidR="00A233D1" w:rsidRPr="00CC5771">
        <w:rPr>
          <w:rFonts w:ascii="Times New Roman" w:hAnsi="Times New Roman" w:cs="Times New Roman"/>
          <w:lang w:val="en-CA"/>
        </w:rPr>
        <w:t>one of Ontario</w:t>
      </w:r>
      <w:r w:rsidR="00912EC7">
        <w:rPr>
          <w:rFonts w:ascii="Times New Roman" w:hAnsi="Times New Roman" w:cs="Times New Roman"/>
          <w:lang w:val="en-CA"/>
        </w:rPr>
        <w:t>’</w:t>
      </w:r>
      <w:r w:rsidR="00A233D1" w:rsidRPr="00CC5771">
        <w:rPr>
          <w:rFonts w:ascii="Times New Roman" w:hAnsi="Times New Roman" w:cs="Times New Roman"/>
          <w:lang w:val="en-CA"/>
        </w:rPr>
        <w:t xml:space="preserve">s </w:t>
      </w:r>
      <w:r w:rsidR="00493EFB">
        <w:rPr>
          <w:rFonts w:ascii="Times New Roman" w:hAnsi="Times New Roman" w:cs="Times New Roman"/>
          <w:lang w:val="en-CA"/>
        </w:rPr>
        <w:t>thirty-four</w:t>
      </w:r>
      <w:r w:rsidR="00493EFB" w:rsidRPr="00CC5771">
        <w:rPr>
          <w:rFonts w:ascii="Times New Roman" w:hAnsi="Times New Roman" w:cs="Times New Roman"/>
          <w:lang w:val="en-CA"/>
        </w:rPr>
        <w:t xml:space="preserve"> </w:t>
      </w:r>
      <w:r w:rsidR="00A233D1" w:rsidRPr="00CC5771">
        <w:rPr>
          <w:rFonts w:ascii="Times New Roman" w:hAnsi="Times New Roman" w:cs="Times New Roman"/>
          <w:lang w:val="en-CA"/>
        </w:rPr>
        <w:t xml:space="preserve">English-language public </w:t>
      </w:r>
      <w:r w:rsidR="00A233D1" w:rsidRPr="00CC5771">
        <w:rPr>
          <w:rFonts w:ascii="Times New Roman" w:hAnsi="Times New Roman" w:cs="Times New Roman"/>
          <w:lang w:val="en-CA"/>
        </w:rPr>
        <w:lastRenderedPageBreak/>
        <w:t>secular school boards</w:t>
      </w:r>
      <w:r w:rsidRPr="00CC5771">
        <w:rPr>
          <w:rFonts w:ascii="Times New Roman" w:hAnsi="Times New Roman" w:cs="Times New Roman"/>
          <w:lang w:val="en-CA"/>
        </w:rPr>
        <w:t xml:space="preserve">; 2) authored by the </w:t>
      </w:r>
      <w:r w:rsidR="00A233D1" w:rsidRPr="00CC5771">
        <w:rPr>
          <w:rFonts w:ascii="Times New Roman" w:hAnsi="Times New Roman" w:cs="Times New Roman"/>
          <w:lang w:val="en-CA"/>
        </w:rPr>
        <w:t xml:space="preserve">given </w:t>
      </w:r>
      <w:r w:rsidRPr="00CC5771">
        <w:rPr>
          <w:rFonts w:ascii="Times New Roman" w:hAnsi="Times New Roman" w:cs="Times New Roman"/>
          <w:lang w:val="en-CA"/>
        </w:rPr>
        <w:t>school board or its agent (not an individual school within a board); 3</w:t>
      </w:r>
      <w:r w:rsidR="00A91882" w:rsidRPr="00CC5771">
        <w:rPr>
          <w:rFonts w:ascii="Times New Roman" w:hAnsi="Times New Roman" w:cs="Times New Roman"/>
          <w:lang w:val="en-CA"/>
        </w:rPr>
        <w:t xml:space="preserve">) written or revised since 2012, </w:t>
      </w:r>
      <w:r w:rsidRPr="00CC5771">
        <w:rPr>
          <w:rFonts w:ascii="Times New Roman" w:hAnsi="Times New Roman" w:cs="Times New Roman"/>
          <w:lang w:val="en-CA"/>
        </w:rPr>
        <w:t xml:space="preserve">when </w:t>
      </w:r>
      <w:r w:rsidR="00203F55" w:rsidRPr="00CC5771">
        <w:rPr>
          <w:rFonts w:ascii="Times New Roman" w:hAnsi="Times New Roman" w:cs="Times New Roman"/>
          <w:i/>
          <w:lang w:val="en-CA"/>
        </w:rPr>
        <w:t>Toby</w:t>
      </w:r>
      <w:r w:rsidR="00912EC7">
        <w:rPr>
          <w:rFonts w:ascii="Times New Roman" w:hAnsi="Times New Roman" w:cs="Times New Roman"/>
          <w:i/>
          <w:lang w:val="en-CA"/>
        </w:rPr>
        <w:t>’</w:t>
      </w:r>
      <w:r w:rsidRPr="00CC5771">
        <w:rPr>
          <w:rFonts w:ascii="Times New Roman" w:hAnsi="Times New Roman" w:cs="Times New Roman"/>
          <w:i/>
          <w:lang w:val="en-CA"/>
        </w:rPr>
        <w:t>s Act</w:t>
      </w:r>
      <w:r w:rsidRPr="00CC5771">
        <w:rPr>
          <w:rFonts w:ascii="Times New Roman" w:hAnsi="Times New Roman" w:cs="Times New Roman"/>
          <w:lang w:val="en-CA"/>
        </w:rPr>
        <w:t xml:space="preserve"> was </w:t>
      </w:r>
      <w:r w:rsidR="00A91882" w:rsidRPr="00CC5771">
        <w:rPr>
          <w:rFonts w:ascii="Times New Roman" w:hAnsi="Times New Roman" w:cs="Times New Roman"/>
          <w:lang w:val="en-CA"/>
        </w:rPr>
        <w:t>passed</w:t>
      </w:r>
      <w:r w:rsidRPr="00CC5771">
        <w:rPr>
          <w:rFonts w:ascii="Times New Roman" w:hAnsi="Times New Roman" w:cs="Times New Roman"/>
          <w:lang w:val="en-CA"/>
        </w:rPr>
        <w:t>; 4) written in English; and 5) publicly available. Taken together, our searches and application of sampling criteria yielded 2</w:t>
      </w:r>
      <w:r w:rsidR="00B50A4B" w:rsidRPr="00CC5771">
        <w:rPr>
          <w:rFonts w:ascii="Times New Roman" w:hAnsi="Times New Roman" w:cs="Times New Roman"/>
          <w:lang w:val="en-CA"/>
        </w:rPr>
        <w:t>0</w:t>
      </w:r>
      <w:r w:rsidRPr="00CC5771">
        <w:rPr>
          <w:rFonts w:ascii="Times New Roman" w:hAnsi="Times New Roman" w:cs="Times New Roman"/>
          <w:lang w:val="en-CA"/>
        </w:rPr>
        <w:t>9 documents for analysis</w:t>
      </w:r>
      <w:r w:rsidR="00A233D1" w:rsidRPr="00CC5771">
        <w:rPr>
          <w:rFonts w:ascii="Times New Roman" w:hAnsi="Times New Roman" w:cs="Times New Roman"/>
          <w:lang w:val="en-CA"/>
        </w:rPr>
        <w:t>.</w:t>
      </w:r>
    </w:p>
    <w:p w14:paraId="37B060B8" w14:textId="2A8773DC" w:rsidR="00CB133A" w:rsidRPr="00CC5771" w:rsidRDefault="001F25D1"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For the purposes of this paper</w:t>
      </w:r>
      <w:r w:rsidR="00887CC9" w:rsidRPr="00CC5771">
        <w:rPr>
          <w:rFonts w:ascii="Times New Roman" w:hAnsi="Times New Roman" w:cs="Times New Roman"/>
          <w:lang w:val="en-CA"/>
        </w:rPr>
        <w:t xml:space="preserve">, we </w:t>
      </w:r>
      <w:r w:rsidRPr="00CC5771">
        <w:rPr>
          <w:rFonts w:ascii="Times New Roman" w:hAnsi="Times New Roman" w:cs="Times New Roman"/>
          <w:lang w:val="en-CA"/>
        </w:rPr>
        <w:t>analyzed</w:t>
      </w:r>
      <w:r w:rsidR="00887CC9" w:rsidRPr="00CC5771">
        <w:rPr>
          <w:rFonts w:ascii="Times New Roman" w:hAnsi="Times New Roman" w:cs="Times New Roman"/>
          <w:lang w:val="en-CA"/>
        </w:rPr>
        <w:t xml:space="preserve"> the explicit definitions of “</w:t>
      </w:r>
      <w:r w:rsidR="00CB133A" w:rsidRPr="00CC5771">
        <w:rPr>
          <w:rFonts w:ascii="Times New Roman" w:hAnsi="Times New Roman" w:cs="Times New Roman"/>
          <w:lang w:val="en-CA"/>
        </w:rPr>
        <w:t xml:space="preserve">gender identity” and “gender expression” </w:t>
      </w:r>
      <w:r w:rsidR="00887CC9" w:rsidRPr="00CC5771">
        <w:rPr>
          <w:rFonts w:ascii="Times New Roman" w:hAnsi="Times New Roman" w:cs="Times New Roman"/>
          <w:lang w:val="en-CA"/>
        </w:rPr>
        <w:t xml:space="preserve">found in </w:t>
      </w:r>
      <w:r w:rsidR="00D577C6" w:rsidRPr="00CC5771">
        <w:rPr>
          <w:rFonts w:ascii="Times New Roman" w:hAnsi="Times New Roman" w:cs="Times New Roman"/>
          <w:lang w:val="en-CA"/>
        </w:rPr>
        <w:t xml:space="preserve">the data set of </w:t>
      </w:r>
      <w:r w:rsidR="00887CC9" w:rsidRPr="00CC5771">
        <w:rPr>
          <w:rFonts w:ascii="Times New Roman" w:hAnsi="Times New Roman" w:cs="Times New Roman"/>
          <w:lang w:val="en-CA"/>
        </w:rPr>
        <w:t xml:space="preserve">policy documents. </w:t>
      </w:r>
      <w:r w:rsidR="00F4695C" w:rsidRPr="00CC5771">
        <w:rPr>
          <w:rFonts w:ascii="Times New Roman" w:hAnsi="Times New Roman" w:cs="Times New Roman"/>
          <w:lang w:val="en-CA"/>
        </w:rPr>
        <w:t xml:space="preserve">In total, there were </w:t>
      </w:r>
      <w:r w:rsidR="00493EFB">
        <w:rPr>
          <w:rFonts w:ascii="Times New Roman" w:hAnsi="Times New Roman" w:cs="Times New Roman"/>
          <w:lang w:val="en-CA"/>
        </w:rPr>
        <w:t>twenty-four</w:t>
      </w:r>
      <w:r w:rsidR="00493EFB" w:rsidRPr="00CC5771">
        <w:rPr>
          <w:rFonts w:ascii="Times New Roman" w:hAnsi="Times New Roman" w:cs="Times New Roman"/>
          <w:lang w:val="en-CA"/>
        </w:rPr>
        <w:t xml:space="preserve"> </w:t>
      </w:r>
      <w:r w:rsidR="00F4695C" w:rsidRPr="00CC5771">
        <w:rPr>
          <w:rFonts w:ascii="Times New Roman" w:hAnsi="Times New Roman" w:cs="Times New Roman"/>
          <w:lang w:val="en-CA"/>
        </w:rPr>
        <w:t xml:space="preserve">documents containing explicit definitions of “gender identity” </w:t>
      </w:r>
      <w:r w:rsidR="0072717F" w:rsidRPr="00CC5771">
        <w:rPr>
          <w:rFonts w:ascii="Times New Roman" w:hAnsi="Times New Roman" w:cs="Times New Roman"/>
          <w:lang w:val="en-CA"/>
        </w:rPr>
        <w:t xml:space="preserve">and </w:t>
      </w:r>
      <w:r w:rsidR="00493EFB">
        <w:rPr>
          <w:rFonts w:ascii="Times New Roman" w:hAnsi="Times New Roman" w:cs="Times New Roman"/>
          <w:lang w:val="en-CA"/>
        </w:rPr>
        <w:t>seventeen</w:t>
      </w:r>
      <w:r w:rsidR="00493EFB" w:rsidRPr="00CC5771">
        <w:rPr>
          <w:rFonts w:ascii="Times New Roman" w:hAnsi="Times New Roman" w:cs="Times New Roman"/>
          <w:lang w:val="en-CA"/>
        </w:rPr>
        <w:t xml:space="preserve"> </w:t>
      </w:r>
      <w:r w:rsidR="0072717F" w:rsidRPr="00CC5771">
        <w:rPr>
          <w:rFonts w:ascii="Times New Roman" w:hAnsi="Times New Roman" w:cs="Times New Roman"/>
          <w:lang w:val="en-CA"/>
        </w:rPr>
        <w:t>documents containing explicit definitions of “gender expression</w:t>
      </w:r>
      <w:r w:rsidR="009C3F79">
        <w:rPr>
          <w:rFonts w:ascii="Times New Roman" w:hAnsi="Times New Roman" w:cs="Times New Roman"/>
          <w:lang w:val="en-CA"/>
        </w:rPr>
        <w:t>.”</w:t>
      </w:r>
      <w:r w:rsidR="001E7E14" w:rsidRPr="00CC5771">
        <w:rPr>
          <w:rFonts w:ascii="Times New Roman" w:hAnsi="Times New Roman" w:cs="Times New Roman"/>
          <w:lang w:val="en-CA"/>
        </w:rPr>
        <w:t xml:space="preserve"> The documents containing explicit definitions were produced between 2012</w:t>
      </w:r>
      <w:r w:rsidR="00493EFB">
        <w:rPr>
          <w:rFonts w:ascii="Times New Roman" w:hAnsi="Times New Roman" w:cs="Times New Roman"/>
          <w:lang w:val="en-CA"/>
        </w:rPr>
        <w:t xml:space="preserve"> and </w:t>
      </w:r>
      <w:r w:rsidR="001E7E14" w:rsidRPr="00CC5771">
        <w:rPr>
          <w:rFonts w:ascii="Times New Roman" w:hAnsi="Times New Roman" w:cs="Times New Roman"/>
          <w:lang w:val="en-CA"/>
        </w:rPr>
        <w:t>2018</w:t>
      </w:r>
      <w:r w:rsidR="00E81B73" w:rsidRPr="00CC5771">
        <w:rPr>
          <w:rFonts w:ascii="Times New Roman" w:hAnsi="Times New Roman" w:cs="Times New Roman"/>
          <w:lang w:val="en-CA"/>
        </w:rPr>
        <w:t>.</w:t>
      </w:r>
      <w:r w:rsidR="00E81B73" w:rsidRPr="00CC5771">
        <w:rPr>
          <w:rStyle w:val="FootnoteReference"/>
          <w:rFonts w:ascii="Times New Roman" w:hAnsi="Times New Roman" w:cs="Times New Roman"/>
          <w:lang w:val="en-CA"/>
        </w:rPr>
        <w:footnoteReference w:id="77"/>
      </w:r>
      <w:r w:rsidR="00E81B73" w:rsidRPr="00CC5771">
        <w:rPr>
          <w:rFonts w:ascii="Times New Roman" w:hAnsi="Times New Roman" w:cs="Times New Roman"/>
          <w:lang w:val="en-CA"/>
        </w:rPr>
        <w:t xml:space="preserve"> </w:t>
      </w:r>
      <w:r w:rsidR="00887CC9" w:rsidRPr="00CC5771">
        <w:rPr>
          <w:rFonts w:ascii="Times New Roman" w:hAnsi="Times New Roman" w:cs="Times New Roman"/>
          <w:lang w:val="en-CA"/>
        </w:rPr>
        <w:t xml:space="preserve">These explicit definitions </w:t>
      </w:r>
      <w:r w:rsidR="00CB133A" w:rsidRPr="00CC5771">
        <w:rPr>
          <w:rFonts w:ascii="Times New Roman" w:hAnsi="Times New Roman" w:cs="Times New Roman"/>
          <w:lang w:val="en-CA"/>
        </w:rPr>
        <w:t>tended to be</w:t>
      </w:r>
      <w:r w:rsidR="00887CC9" w:rsidRPr="00CC5771">
        <w:rPr>
          <w:rFonts w:ascii="Times New Roman" w:hAnsi="Times New Roman" w:cs="Times New Roman"/>
          <w:lang w:val="en-CA"/>
        </w:rPr>
        <w:t xml:space="preserve"> </w:t>
      </w:r>
      <w:r w:rsidR="00CB133A" w:rsidRPr="00CC5771">
        <w:rPr>
          <w:rFonts w:ascii="Times New Roman" w:hAnsi="Times New Roman" w:cs="Times New Roman"/>
          <w:lang w:val="en-CA"/>
        </w:rPr>
        <w:t>located in</w:t>
      </w:r>
      <w:r w:rsidR="00887CC9" w:rsidRPr="00CC5771">
        <w:rPr>
          <w:rFonts w:ascii="Times New Roman" w:hAnsi="Times New Roman" w:cs="Times New Roman"/>
          <w:lang w:val="en-CA"/>
        </w:rPr>
        <w:t xml:space="preserve"> glossaries or informati</w:t>
      </w:r>
      <w:r w:rsidR="00A32341" w:rsidRPr="00CC5771">
        <w:rPr>
          <w:rFonts w:ascii="Times New Roman" w:hAnsi="Times New Roman" w:cs="Times New Roman"/>
          <w:lang w:val="en-CA"/>
        </w:rPr>
        <w:t>ve</w:t>
      </w:r>
      <w:r w:rsidR="00887CC9" w:rsidRPr="00CC5771">
        <w:rPr>
          <w:rFonts w:ascii="Times New Roman" w:hAnsi="Times New Roman" w:cs="Times New Roman"/>
          <w:lang w:val="en-CA"/>
        </w:rPr>
        <w:t xml:space="preserve"> sidebars. </w:t>
      </w:r>
      <w:r w:rsidR="00A22B12" w:rsidRPr="00CC5771">
        <w:rPr>
          <w:rFonts w:ascii="Times New Roman" w:hAnsi="Times New Roman" w:cs="Times New Roman"/>
          <w:lang w:val="en-CA"/>
        </w:rPr>
        <w:t>We analyzed each definition</w:t>
      </w:r>
      <w:r w:rsidRPr="00CC5771">
        <w:rPr>
          <w:rFonts w:ascii="Times New Roman" w:hAnsi="Times New Roman" w:cs="Times New Roman"/>
          <w:lang w:val="en-CA"/>
        </w:rPr>
        <w:t xml:space="preserve"> for </w:t>
      </w:r>
      <w:r w:rsidR="00CB133A" w:rsidRPr="00CC5771">
        <w:rPr>
          <w:rFonts w:ascii="Times New Roman" w:hAnsi="Times New Roman" w:cs="Times New Roman"/>
          <w:lang w:val="en-CA"/>
        </w:rPr>
        <w:t>its</w:t>
      </w:r>
      <w:r w:rsidR="00D1264E" w:rsidRPr="00CC5771">
        <w:rPr>
          <w:rFonts w:ascii="Times New Roman" w:hAnsi="Times New Roman" w:cs="Times New Roman"/>
          <w:lang w:val="en-CA"/>
        </w:rPr>
        <w:t xml:space="preserve"> degree of fidelity to</w:t>
      </w:r>
      <w:r w:rsidRPr="00CC5771">
        <w:rPr>
          <w:rFonts w:ascii="Times New Roman" w:hAnsi="Times New Roman" w:cs="Times New Roman"/>
          <w:lang w:val="en-CA"/>
        </w:rPr>
        <w:t xml:space="preserve"> the definitions given by the OHRC</w:t>
      </w:r>
      <w:r w:rsidR="00912EC7">
        <w:rPr>
          <w:rFonts w:ascii="Times New Roman" w:hAnsi="Times New Roman" w:cs="Times New Roman"/>
          <w:lang w:val="en-CA"/>
        </w:rPr>
        <w:t>’</w:t>
      </w:r>
      <w:r w:rsidRPr="00CC5771">
        <w:rPr>
          <w:rFonts w:ascii="Times New Roman" w:hAnsi="Times New Roman" w:cs="Times New Roman"/>
          <w:lang w:val="en-CA"/>
        </w:rPr>
        <w:t xml:space="preserve">s </w:t>
      </w:r>
      <w:r w:rsidR="00887CC9" w:rsidRPr="00CC5771">
        <w:rPr>
          <w:rFonts w:ascii="Times New Roman" w:hAnsi="Times New Roman" w:cs="Times New Roman"/>
          <w:i/>
          <w:lang w:val="en-CA"/>
        </w:rPr>
        <w:t>Policy on preventing discrimination because of gender identity and gender expression</w:t>
      </w:r>
      <w:r w:rsidR="00887CC9" w:rsidRPr="00CC5771">
        <w:rPr>
          <w:rFonts w:ascii="Times New Roman" w:hAnsi="Times New Roman" w:cs="Times New Roman"/>
          <w:lang w:val="en-CA"/>
        </w:rPr>
        <w:t xml:space="preserve">. The definitions were then </w:t>
      </w:r>
      <w:r w:rsidRPr="00CC5771">
        <w:rPr>
          <w:rFonts w:ascii="Times New Roman" w:hAnsi="Times New Roman" w:cs="Times New Roman"/>
          <w:lang w:val="en-CA"/>
        </w:rPr>
        <w:t>assigned one value</w:t>
      </w:r>
      <w:r w:rsidR="00887CC9" w:rsidRPr="00CC5771">
        <w:rPr>
          <w:rFonts w:ascii="Times New Roman" w:hAnsi="Times New Roman" w:cs="Times New Roman"/>
          <w:lang w:val="en-CA"/>
        </w:rPr>
        <w:t xml:space="preserve"> on a </w:t>
      </w:r>
      <w:r w:rsidRPr="00CC5771">
        <w:rPr>
          <w:rFonts w:ascii="Times New Roman" w:hAnsi="Times New Roman" w:cs="Times New Roman"/>
          <w:lang w:val="en-CA"/>
        </w:rPr>
        <w:t>five</w:t>
      </w:r>
      <w:r w:rsidR="00887CC9" w:rsidRPr="00CC5771">
        <w:rPr>
          <w:rFonts w:ascii="Times New Roman" w:hAnsi="Times New Roman" w:cs="Times New Roman"/>
          <w:lang w:val="en-CA"/>
        </w:rPr>
        <w:t xml:space="preserve">-point fidelity scale, </w:t>
      </w:r>
      <w:r w:rsidRPr="00CC5771">
        <w:rPr>
          <w:rFonts w:ascii="Times New Roman" w:hAnsi="Times New Roman" w:cs="Times New Roman"/>
          <w:lang w:val="en-CA"/>
        </w:rPr>
        <w:t>with</w:t>
      </w:r>
      <w:r w:rsidR="00D577C6" w:rsidRPr="00CC5771">
        <w:rPr>
          <w:rFonts w:ascii="Times New Roman" w:hAnsi="Times New Roman" w:cs="Times New Roman"/>
          <w:lang w:val="en-CA"/>
        </w:rPr>
        <w:t xml:space="preserve"> a rating of</w:t>
      </w:r>
      <w:r w:rsidRPr="00CC5771">
        <w:rPr>
          <w:rFonts w:ascii="Times New Roman" w:hAnsi="Times New Roman" w:cs="Times New Roman"/>
          <w:lang w:val="en-CA"/>
        </w:rPr>
        <w:t xml:space="preserve"> five</w:t>
      </w:r>
      <w:r w:rsidR="00887CC9" w:rsidRPr="00CC5771">
        <w:rPr>
          <w:rFonts w:ascii="Times New Roman" w:hAnsi="Times New Roman" w:cs="Times New Roman"/>
          <w:lang w:val="en-CA"/>
        </w:rPr>
        <w:t xml:space="preserve"> indicating that the definition was directly cop</w:t>
      </w:r>
      <w:r w:rsidR="00D577C6" w:rsidRPr="00CC5771">
        <w:rPr>
          <w:rFonts w:ascii="Times New Roman" w:hAnsi="Times New Roman" w:cs="Times New Roman"/>
          <w:lang w:val="en-CA"/>
        </w:rPr>
        <w:t>ied</w:t>
      </w:r>
      <w:r w:rsidR="00887CC9" w:rsidRPr="00CC5771">
        <w:rPr>
          <w:rFonts w:ascii="Times New Roman" w:hAnsi="Times New Roman" w:cs="Times New Roman"/>
          <w:lang w:val="en-CA"/>
        </w:rPr>
        <w:t xml:space="preserve"> and pasted from the OHRC </w:t>
      </w:r>
      <w:r w:rsidR="0049774D" w:rsidRPr="00CC5771">
        <w:rPr>
          <w:rFonts w:ascii="Times New Roman" w:hAnsi="Times New Roman" w:cs="Times New Roman"/>
          <w:lang w:val="en-CA"/>
        </w:rPr>
        <w:t>policy</w:t>
      </w:r>
      <w:r w:rsidR="00887CC9" w:rsidRPr="00CC5771">
        <w:rPr>
          <w:rFonts w:ascii="Times New Roman" w:hAnsi="Times New Roman" w:cs="Times New Roman"/>
          <w:lang w:val="en-CA"/>
        </w:rPr>
        <w:t xml:space="preserve">, and </w:t>
      </w:r>
      <w:r w:rsidR="00D577C6" w:rsidRPr="00CC5771">
        <w:rPr>
          <w:rFonts w:ascii="Times New Roman" w:hAnsi="Times New Roman" w:cs="Times New Roman"/>
          <w:lang w:val="en-CA"/>
        </w:rPr>
        <w:t xml:space="preserve">a rating of </w:t>
      </w:r>
      <w:r w:rsidRPr="00CC5771">
        <w:rPr>
          <w:rFonts w:ascii="Times New Roman" w:hAnsi="Times New Roman" w:cs="Times New Roman"/>
          <w:lang w:val="en-CA"/>
        </w:rPr>
        <w:t>one</w:t>
      </w:r>
      <w:r w:rsidR="00887CC9" w:rsidRPr="00CC5771">
        <w:rPr>
          <w:rFonts w:ascii="Times New Roman" w:hAnsi="Times New Roman" w:cs="Times New Roman"/>
          <w:lang w:val="en-CA"/>
        </w:rPr>
        <w:t xml:space="preserve"> indicating that the definition </w:t>
      </w:r>
      <w:r w:rsidR="00F4695C" w:rsidRPr="00CC5771">
        <w:rPr>
          <w:rFonts w:ascii="Times New Roman" w:hAnsi="Times New Roman" w:cs="Times New Roman"/>
          <w:lang w:val="en-CA"/>
        </w:rPr>
        <w:t xml:space="preserve">was totally out of step </w:t>
      </w:r>
      <w:r w:rsidR="005E0AA9" w:rsidRPr="00CC5771">
        <w:rPr>
          <w:rFonts w:ascii="Times New Roman" w:hAnsi="Times New Roman" w:cs="Times New Roman"/>
          <w:lang w:val="en-CA"/>
        </w:rPr>
        <w:t xml:space="preserve">with </w:t>
      </w:r>
      <w:r w:rsidR="00F4695C" w:rsidRPr="00CC5771">
        <w:rPr>
          <w:rFonts w:ascii="Times New Roman" w:hAnsi="Times New Roman" w:cs="Times New Roman"/>
          <w:lang w:val="en-CA"/>
        </w:rPr>
        <w:t>the OHRC policy</w:t>
      </w:r>
      <w:r w:rsidR="00887CC9" w:rsidRPr="00CC5771">
        <w:rPr>
          <w:rFonts w:ascii="Times New Roman" w:hAnsi="Times New Roman" w:cs="Times New Roman"/>
          <w:lang w:val="en-CA"/>
        </w:rPr>
        <w:t xml:space="preserve">. </w:t>
      </w:r>
      <w:r w:rsidR="00942EBA" w:rsidRPr="00CC5771">
        <w:rPr>
          <w:rFonts w:ascii="Times New Roman" w:hAnsi="Times New Roman" w:cs="Times New Roman"/>
          <w:lang w:val="en-CA"/>
        </w:rPr>
        <w:t>Two policies contained two different definitions of “gender identity”</w:t>
      </w:r>
      <w:r w:rsidR="00E602D2" w:rsidRPr="00CC5771">
        <w:rPr>
          <w:rFonts w:ascii="Times New Roman" w:hAnsi="Times New Roman" w:cs="Times New Roman"/>
          <w:lang w:val="en-CA"/>
        </w:rPr>
        <w:t xml:space="preserve"> within a single document;</w:t>
      </w:r>
      <w:r w:rsidR="00942EBA" w:rsidRPr="00CC5771">
        <w:rPr>
          <w:rFonts w:ascii="Times New Roman" w:hAnsi="Times New Roman" w:cs="Times New Roman"/>
          <w:lang w:val="en-CA"/>
        </w:rPr>
        <w:t xml:space="preserve"> these policies were t</w:t>
      </w:r>
      <w:r w:rsidR="00383534" w:rsidRPr="00CC5771">
        <w:rPr>
          <w:rFonts w:ascii="Times New Roman" w:hAnsi="Times New Roman" w:cs="Times New Roman"/>
          <w:lang w:val="en-CA"/>
        </w:rPr>
        <w:t>herefore assigned two fidelity</w:t>
      </w:r>
      <w:r w:rsidR="00942EBA" w:rsidRPr="00CC5771">
        <w:rPr>
          <w:rFonts w:ascii="Times New Roman" w:hAnsi="Times New Roman" w:cs="Times New Roman"/>
          <w:lang w:val="en-CA"/>
        </w:rPr>
        <w:t xml:space="preserve"> scores.</w:t>
      </w:r>
      <w:r w:rsidR="00942EBA" w:rsidRPr="00CC5771">
        <w:rPr>
          <w:rStyle w:val="FootnoteReference"/>
          <w:rFonts w:ascii="Times New Roman" w:hAnsi="Times New Roman" w:cs="Times New Roman"/>
          <w:lang w:val="en-CA"/>
        </w:rPr>
        <w:footnoteReference w:id="78"/>
      </w:r>
      <w:r w:rsidR="00942EBA" w:rsidRPr="00CC5771">
        <w:rPr>
          <w:rFonts w:ascii="Times New Roman" w:hAnsi="Times New Roman" w:cs="Times New Roman"/>
          <w:lang w:val="en-CA"/>
        </w:rPr>
        <w:t xml:space="preserve"> </w:t>
      </w:r>
      <w:r w:rsidR="00887CC9" w:rsidRPr="00CC5771">
        <w:rPr>
          <w:rFonts w:ascii="Times New Roman" w:hAnsi="Times New Roman" w:cs="Times New Roman"/>
          <w:lang w:val="en-CA"/>
        </w:rPr>
        <w:t xml:space="preserve">The definitions were grouped based on their similarity to one another. For example, the Durham District School </w:t>
      </w:r>
      <w:r w:rsidR="00383534" w:rsidRPr="00CC5771">
        <w:rPr>
          <w:rFonts w:ascii="Times New Roman" w:hAnsi="Times New Roman" w:cs="Times New Roman"/>
          <w:lang w:val="en-CA"/>
        </w:rPr>
        <w:t>Board</w:t>
      </w:r>
      <w:r w:rsidRPr="00CC5771">
        <w:rPr>
          <w:rFonts w:ascii="Times New Roman" w:hAnsi="Times New Roman" w:cs="Times New Roman"/>
          <w:lang w:val="en-CA"/>
        </w:rPr>
        <w:t xml:space="preserve"> policy</w:t>
      </w:r>
      <w:r w:rsidR="00912EC7">
        <w:rPr>
          <w:rFonts w:ascii="Times New Roman" w:hAnsi="Times New Roman" w:cs="Times New Roman"/>
          <w:lang w:val="en-CA"/>
        </w:rPr>
        <w:t>’</w:t>
      </w:r>
      <w:r w:rsidRPr="00CC5771">
        <w:rPr>
          <w:rFonts w:ascii="Times New Roman" w:hAnsi="Times New Roman" w:cs="Times New Roman"/>
          <w:lang w:val="en-CA"/>
        </w:rPr>
        <w:t>s</w:t>
      </w:r>
      <w:r w:rsidR="00887CC9" w:rsidRPr="00CC5771">
        <w:rPr>
          <w:rFonts w:ascii="Times New Roman" w:hAnsi="Times New Roman" w:cs="Times New Roman"/>
          <w:lang w:val="en-CA"/>
        </w:rPr>
        <w:t xml:space="preserve"> definition of </w:t>
      </w:r>
      <w:r w:rsidRPr="00CC5771">
        <w:rPr>
          <w:rFonts w:ascii="Times New Roman" w:hAnsi="Times New Roman" w:cs="Times New Roman"/>
          <w:lang w:val="en-CA"/>
        </w:rPr>
        <w:t>“g</w:t>
      </w:r>
      <w:r w:rsidR="00887CC9" w:rsidRPr="00CC5771">
        <w:rPr>
          <w:rFonts w:ascii="Times New Roman" w:hAnsi="Times New Roman" w:cs="Times New Roman"/>
          <w:lang w:val="en-CA"/>
        </w:rPr>
        <w:t xml:space="preserve">ender </w:t>
      </w:r>
      <w:r w:rsidRPr="00CC5771">
        <w:rPr>
          <w:rFonts w:ascii="Times New Roman" w:hAnsi="Times New Roman" w:cs="Times New Roman"/>
          <w:lang w:val="en-CA"/>
        </w:rPr>
        <w:t>e</w:t>
      </w:r>
      <w:r w:rsidR="00887CC9" w:rsidRPr="00CC5771">
        <w:rPr>
          <w:rFonts w:ascii="Times New Roman" w:hAnsi="Times New Roman" w:cs="Times New Roman"/>
          <w:lang w:val="en-CA"/>
        </w:rPr>
        <w:t>xpression</w:t>
      </w:r>
      <w:r w:rsidRPr="00CC5771">
        <w:rPr>
          <w:rFonts w:ascii="Times New Roman" w:hAnsi="Times New Roman" w:cs="Times New Roman"/>
          <w:lang w:val="en-CA"/>
        </w:rPr>
        <w:t>”</w:t>
      </w:r>
      <w:r w:rsidR="00887CC9" w:rsidRPr="00CC5771">
        <w:rPr>
          <w:rFonts w:ascii="Times New Roman" w:hAnsi="Times New Roman" w:cs="Times New Roman"/>
          <w:lang w:val="en-CA"/>
        </w:rPr>
        <w:t xml:space="preserve"> has a fidelity rating of </w:t>
      </w:r>
      <w:r w:rsidRPr="00CC5771">
        <w:rPr>
          <w:rFonts w:ascii="Times New Roman" w:hAnsi="Times New Roman" w:cs="Times New Roman"/>
          <w:lang w:val="en-CA"/>
        </w:rPr>
        <w:t xml:space="preserve">one; </w:t>
      </w:r>
      <w:r w:rsidR="00887CC9" w:rsidRPr="00CC5771">
        <w:rPr>
          <w:rFonts w:ascii="Times New Roman" w:hAnsi="Times New Roman" w:cs="Times New Roman"/>
          <w:lang w:val="en-CA"/>
        </w:rPr>
        <w:t>however</w:t>
      </w:r>
      <w:r w:rsidRPr="00CC5771">
        <w:rPr>
          <w:rFonts w:ascii="Times New Roman" w:hAnsi="Times New Roman" w:cs="Times New Roman"/>
          <w:lang w:val="en-CA"/>
        </w:rPr>
        <w:t>,</w:t>
      </w:r>
      <w:r w:rsidR="00887CC9" w:rsidRPr="00CC5771">
        <w:rPr>
          <w:rFonts w:ascii="Times New Roman" w:hAnsi="Times New Roman" w:cs="Times New Roman"/>
          <w:lang w:val="en-CA"/>
        </w:rPr>
        <w:t xml:space="preserve"> it is a verbatim match </w:t>
      </w:r>
      <w:r w:rsidR="00493EFB">
        <w:rPr>
          <w:rFonts w:ascii="Times New Roman" w:hAnsi="Times New Roman" w:cs="Times New Roman"/>
          <w:lang w:val="en-CA"/>
        </w:rPr>
        <w:t>with</w:t>
      </w:r>
      <w:r w:rsidR="00493EFB" w:rsidRPr="00CC5771">
        <w:rPr>
          <w:rFonts w:ascii="Times New Roman" w:hAnsi="Times New Roman" w:cs="Times New Roman"/>
          <w:lang w:val="en-CA"/>
        </w:rPr>
        <w:t xml:space="preserve"> </w:t>
      </w:r>
      <w:r w:rsidR="00887CC9" w:rsidRPr="00CC5771">
        <w:rPr>
          <w:rFonts w:ascii="Times New Roman" w:hAnsi="Times New Roman" w:cs="Times New Roman"/>
          <w:lang w:val="en-CA"/>
        </w:rPr>
        <w:t xml:space="preserve">the definition of </w:t>
      </w:r>
      <w:r w:rsidRPr="00CC5771">
        <w:rPr>
          <w:rFonts w:ascii="Times New Roman" w:hAnsi="Times New Roman" w:cs="Times New Roman"/>
          <w:lang w:val="en-CA"/>
        </w:rPr>
        <w:t>“g</w:t>
      </w:r>
      <w:r w:rsidR="00887CC9" w:rsidRPr="00CC5771">
        <w:rPr>
          <w:rFonts w:ascii="Times New Roman" w:hAnsi="Times New Roman" w:cs="Times New Roman"/>
          <w:lang w:val="en-CA"/>
        </w:rPr>
        <w:t xml:space="preserve">ender </w:t>
      </w:r>
      <w:r w:rsidRPr="00CC5771">
        <w:rPr>
          <w:rFonts w:ascii="Times New Roman" w:hAnsi="Times New Roman" w:cs="Times New Roman"/>
          <w:lang w:val="en-CA"/>
        </w:rPr>
        <w:t>e</w:t>
      </w:r>
      <w:r w:rsidR="00887CC9" w:rsidRPr="00CC5771">
        <w:rPr>
          <w:rFonts w:ascii="Times New Roman" w:hAnsi="Times New Roman" w:cs="Times New Roman"/>
          <w:lang w:val="en-CA"/>
        </w:rPr>
        <w:t>xpression</w:t>
      </w:r>
      <w:r w:rsidRPr="00CC5771">
        <w:rPr>
          <w:rFonts w:ascii="Times New Roman" w:hAnsi="Times New Roman" w:cs="Times New Roman"/>
          <w:lang w:val="en-CA"/>
        </w:rPr>
        <w:t>”</w:t>
      </w:r>
      <w:r w:rsidR="00887CC9" w:rsidRPr="00CC5771">
        <w:rPr>
          <w:rFonts w:ascii="Times New Roman" w:hAnsi="Times New Roman" w:cs="Times New Roman"/>
          <w:lang w:val="en-CA"/>
        </w:rPr>
        <w:t xml:space="preserve"> </w:t>
      </w:r>
      <w:r w:rsidR="00CB133A" w:rsidRPr="00CC5771">
        <w:rPr>
          <w:rFonts w:ascii="Times New Roman" w:hAnsi="Times New Roman" w:cs="Times New Roman"/>
          <w:lang w:val="en-CA"/>
        </w:rPr>
        <w:t>provided by</w:t>
      </w:r>
      <w:r w:rsidR="00887CC9" w:rsidRPr="00CC5771">
        <w:rPr>
          <w:rFonts w:ascii="Times New Roman" w:hAnsi="Times New Roman" w:cs="Times New Roman"/>
          <w:lang w:val="en-CA"/>
        </w:rPr>
        <w:t xml:space="preserve"> the Trillium Lakelands </w:t>
      </w:r>
      <w:r w:rsidRPr="00CC5771">
        <w:rPr>
          <w:rFonts w:ascii="Times New Roman" w:hAnsi="Times New Roman" w:cs="Times New Roman"/>
          <w:lang w:val="en-CA"/>
        </w:rPr>
        <w:t>District School Board</w:t>
      </w:r>
      <w:r w:rsidR="00887CC9" w:rsidRPr="00CC5771">
        <w:rPr>
          <w:rFonts w:ascii="Times New Roman" w:hAnsi="Times New Roman" w:cs="Times New Roman"/>
          <w:lang w:val="en-CA"/>
        </w:rPr>
        <w:t xml:space="preserve">. Once this process had been completed for both </w:t>
      </w:r>
      <w:r w:rsidR="00887CC9" w:rsidRPr="00CC5771">
        <w:rPr>
          <w:rFonts w:ascii="Times New Roman" w:hAnsi="Times New Roman" w:cs="Times New Roman"/>
          <w:lang w:val="en-CA"/>
        </w:rPr>
        <w:lastRenderedPageBreak/>
        <w:t>definitions</w:t>
      </w:r>
      <w:r w:rsidR="00CB133A" w:rsidRPr="00CC5771">
        <w:rPr>
          <w:rFonts w:ascii="Times New Roman" w:hAnsi="Times New Roman" w:cs="Times New Roman"/>
          <w:lang w:val="en-CA"/>
        </w:rPr>
        <w:t>, we made a series of</w:t>
      </w:r>
      <w:r w:rsidR="00887CC9" w:rsidRPr="00CC5771">
        <w:rPr>
          <w:rFonts w:ascii="Times New Roman" w:hAnsi="Times New Roman" w:cs="Times New Roman"/>
          <w:lang w:val="en-CA"/>
        </w:rPr>
        <w:t xml:space="preserve"> inferences regarding how school boards are interpreting the definitions provided by the </w:t>
      </w:r>
      <w:r w:rsidR="00CB133A" w:rsidRPr="00CC5771">
        <w:rPr>
          <w:rFonts w:ascii="Times New Roman" w:hAnsi="Times New Roman" w:cs="Times New Roman"/>
          <w:lang w:val="en-CA"/>
        </w:rPr>
        <w:t>OHRC</w:t>
      </w:r>
      <w:r w:rsidR="00887CC9" w:rsidRPr="00CC5771">
        <w:rPr>
          <w:rFonts w:ascii="Times New Roman" w:hAnsi="Times New Roman" w:cs="Times New Roman"/>
          <w:lang w:val="en-CA"/>
        </w:rPr>
        <w:t>.</w:t>
      </w:r>
      <w:r w:rsidRPr="00CC5771">
        <w:rPr>
          <w:rFonts w:ascii="Times New Roman" w:hAnsi="Times New Roman" w:cs="Times New Roman"/>
          <w:lang w:val="en-CA"/>
        </w:rPr>
        <w:t xml:space="preserve"> </w:t>
      </w:r>
    </w:p>
    <w:p w14:paraId="154613E8" w14:textId="77775522" w:rsidR="00755A8E" w:rsidRPr="00461619" w:rsidRDefault="007A5CA9" w:rsidP="004D0F4E">
      <w:pPr>
        <w:spacing w:after="240" w:line="480" w:lineRule="auto"/>
        <w:rPr>
          <w:rFonts w:ascii="Times New Roman" w:hAnsi="Times New Roman" w:cs="Times New Roman"/>
          <w:b/>
          <w:lang w:val="en-CA"/>
        </w:rPr>
      </w:pPr>
      <w:r w:rsidRPr="00461619">
        <w:rPr>
          <w:rFonts w:ascii="Times New Roman" w:hAnsi="Times New Roman" w:cs="Times New Roman"/>
          <w:b/>
          <w:lang w:val="en-CA"/>
        </w:rPr>
        <w:t xml:space="preserve">2. </w:t>
      </w:r>
      <w:r w:rsidR="00FE76F6" w:rsidRPr="00461619">
        <w:rPr>
          <w:rFonts w:ascii="Times New Roman" w:hAnsi="Times New Roman" w:cs="Times New Roman"/>
          <w:b/>
          <w:lang w:val="en-CA"/>
        </w:rPr>
        <w:t>Findings</w:t>
      </w:r>
    </w:p>
    <w:p w14:paraId="24423563" w14:textId="24F2EE50" w:rsidR="00E602D2" w:rsidRPr="00CC5771" w:rsidRDefault="005E0AA9"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In</w:t>
      </w:r>
      <w:r w:rsidR="007201A6" w:rsidRPr="00CC5771">
        <w:rPr>
          <w:rFonts w:ascii="Times New Roman" w:hAnsi="Times New Roman" w:cs="Times New Roman"/>
          <w:lang w:val="en-CA"/>
        </w:rPr>
        <w:t xml:space="preserve"> the aftermath of the passage of </w:t>
      </w:r>
      <w:r w:rsidR="007201A6" w:rsidRPr="00CC5771">
        <w:rPr>
          <w:rFonts w:ascii="Times New Roman" w:hAnsi="Times New Roman" w:cs="Times New Roman"/>
          <w:i/>
          <w:lang w:val="en-CA"/>
        </w:rPr>
        <w:t>Toby</w:t>
      </w:r>
      <w:r w:rsidR="00912EC7">
        <w:rPr>
          <w:rFonts w:ascii="Times New Roman" w:hAnsi="Times New Roman" w:cs="Times New Roman"/>
          <w:i/>
          <w:lang w:val="en-CA"/>
        </w:rPr>
        <w:t>’</w:t>
      </w:r>
      <w:r w:rsidR="007201A6" w:rsidRPr="00CC5771">
        <w:rPr>
          <w:rFonts w:ascii="Times New Roman" w:hAnsi="Times New Roman" w:cs="Times New Roman"/>
          <w:i/>
          <w:lang w:val="en-CA"/>
        </w:rPr>
        <w:t>s Act</w:t>
      </w:r>
      <w:r w:rsidR="007201A6" w:rsidRPr="00CC5771">
        <w:rPr>
          <w:rFonts w:ascii="Times New Roman" w:hAnsi="Times New Roman" w:cs="Times New Roman"/>
          <w:lang w:val="en-CA"/>
        </w:rPr>
        <w:t>,</w:t>
      </w:r>
      <w:r w:rsidR="00AA2D11" w:rsidRPr="00CC5771">
        <w:rPr>
          <w:rStyle w:val="FootnoteReference"/>
          <w:rFonts w:ascii="Times New Roman" w:hAnsi="Times New Roman" w:cs="Times New Roman"/>
          <w:lang w:val="en-CA"/>
        </w:rPr>
        <w:footnoteReference w:id="79"/>
      </w:r>
      <w:r w:rsidR="007201A6" w:rsidRPr="00CC5771">
        <w:rPr>
          <w:rFonts w:ascii="Times New Roman" w:hAnsi="Times New Roman" w:cs="Times New Roman"/>
          <w:lang w:val="en-CA"/>
        </w:rPr>
        <w:t xml:space="preserve"> </w:t>
      </w:r>
      <w:r w:rsidRPr="00CC5771">
        <w:rPr>
          <w:rFonts w:ascii="Times New Roman" w:hAnsi="Times New Roman" w:cs="Times New Roman"/>
          <w:lang w:val="en-CA"/>
        </w:rPr>
        <w:t xml:space="preserve">one might expect that </w:t>
      </w:r>
      <w:r w:rsidR="007201A6" w:rsidRPr="00CC5771">
        <w:rPr>
          <w:rFonts w:ascii="Times New Roman" w:hAnsi="Times New Roman" w:cs="Times New Roman"/>
          <w:lang w:val="en-CA"/>
        </w:rPr>
        <w:t>Ontario</w:t>
      </w:r>
      <w:r w:rsidR="00912EC7">
        <w:rPr>
          <w:rFonts w:ascii="Times New Roman" w:hAnsi="Times New Roman" w:cs="Times New Roman"/>
          <w:lang w:val="en-CA"/>
        </w:rPr>
        <w:t>’</w:t>
      </w:r>
      <w:r w:rsidR="007201A6" w:rsidRPr="00CC5771">
        <w:rPr>
          <w:rFonts w:ascii="Times New Roman" w:hAnsi="Times New Roman" w:cs="Times New Roman"/>
          <w:lang w:val="en-CA"/>
        </w:rPr>
        <w:t xml:space="preserve">s secular school boards would </w:t>
      </w:r>
      <w:r w:rsidR="00AA23CD" w:rsidRPr="00CC5771">
        <w:rPr>
          <w:rFonts w:ascii="Times New Roman" w:hAnsi="Times New Roman" w:cs="Times New Roman"/>
          <w:lang w:val="en-CA"/>
        </w:rPr>
        <w:t>simply cop</w:t>
      </w:r>
      <w:r w:rsidR="0066123A" w:rsidRPr="00CC5771">
        <w:rPr>
          <w:rFonts w:ascii="Times New Roman" w:hAnsi="Times New Roman" w:cs="Times New Roman"/>
          <w:lang w:val="en-CA"/>
        </w:rPr>
        <w:t>y</w:t>
      </w:r>
      <w:r w:rsidR="00AA23CD" w:rsidRPr="00CC5771">
        <w:rPr>
          <w:rFonts w:ascii="Times New Roman" w:hAnsi="Times New Roman" w:cs="Times New Roman"/>
          <w:lang w:val="en-CA"/>
        </w:rPr>
        <w:t xml:space="preserve"> and paste </w:t>
      </w:r>
      <w:r w:rsidR="00AA2D11" w:rsidRPr="00CC5771">
        <w:rPr>
          <w:rFonts w:ascii="Times New Roman" w:hAnsi="Times New Roman" w:cs="Times New Roman"/>
          <w:lang w:val="en-CA"/>
        </w:rPr>
        <w:t xml:space="preserve">definitions </w:t>
      </w:r>
      <w:r w:rsidR="008023DE" w:rsidRPr="00CC5771">
        <w:rPr>
          <w:rFonts w:ascii="Times New Roman" w:hAnsi="Times New Roman" w:cs="Times New Roman"/>
          <w:lang w:val="en-CA"/>
        </w:rPr>
        <w:t>from</w:t>
      </w:r>
      <w:r w:rsidR="00AA2D11" w:rsidRPr="00CC5771">
        <w:rPr>
          <w:rFonts w:ascii="Times New Roman" w:hAnsi="Times New Roman" w:cs="Times New Roman"/>
          <w:lang w:val="en-CA"/>
        </w:rPr>
        <w:t xml:space="preserve"> the OHRC</w:t>
      </w:r>
      <w:r w:rsidR="00912EC7">
        <w:rPr>
          <w:rFonts w:ascii="Times New Roman" w:hAnsi="Times New Roman" w:cs="Times New Roman"/>
          <w:lang w:val="en-CA"/>
        </w:rPr>
        <w:t>’</w:t>
      </w:r>
      <w:r w:rsidR="00AA2D11" w:rsidRPr="00CC5771">
        <w:rPr>
          <w:rFonts w:ascii="Times New Roman" w:hAnsi="Times New Roman" w:cs="Times New Roman"/>
          <w:lang w:val="en-CA"/>
        </w:rPr>
        <w:t xml:space="preserve">s </w:t>
      </w:r>
      <w:r w:rsidR="00AA2D11" w:rsidRPr="00CC5771">
        <w:rPr>
          <w:rFonts w:ascii="Times New Roman" w:hAnsi="Times New Roman" w:cs="Times New Roman"/>
          <w:i/>
          <w:lang w:val="en-CA"/>
        </w:rPr>
        <w:t>Policy on preventing discrimination because of gender identity and gender expression</w:t>
      </w:r>
      <w:r w:rsidR="00CF2154" w:rsidRPr="00CC5771">
        <w:rPr>
          <w:rFonts w:ascii="Times New Roman" w:hAnsi="Times New Roman" w:cs="Times New Roman"/>
          <w:lang w:val="en-CA"/>
        </w:rPr>
        <w:t xml:space="preserve"> on the advice of their legal counsel</w:t>
      </w:r>
      <w:r w:rsidR="002A6795" w:rsidRPr="00CC5771">
        <w:rPr>
          <w:rFonts w:ascii="Times New Roman" w:hAnsi="Times New Roman" w:cs="Times New Roman"/>
          <w:lang w:val="en-CA"/>
        </w:rPr>
        <w:t xml:space="preserve">, who </w:t>
      </w:r>
      <w:r w:rsidR="006D66BE" w:rsidRPr="00CC5771">
        <w:rPr>
          <w:rFonts w:ascii="Times New Roman" w:hAnsi="Times New Roman" w:cs="Times New Roman"/>
          <w:lang w:val="en-CA"/>
        </w:rPr>
        <w:t>would</w:t>
      </w:r>
      <w:r w:rsidR="002A6795" w:rsidRPr="00CC5771">
        <w:rPr>
          <w:rFonts w:ascii="Times New Roman" w:hAnsi="Times New Roman" w:cs="Times New Roman"/>
          <w:lang w:val="en-CA"/>
        </w:rPr>
        <w:t xml:space="preserve"> have reviewed all board-level policies for </w:t>
      </w:r>
      <w:r w:rsidRPr="00CC5771">
        <w:rPr>
          <w:rFonts w:ascii="Times New Roman" w:hAnsi="Times New Roman" w:cs="Times New Roman"/>
          <w:lang w:val="en-CA"/>
        </w:rPr>
        <w:t>legal</w:t>
      </w:r>
      <w:r w:rsidR="002A6795" w:rsidRPr="00CC5771">
        <w:rPr>
          <w:rFonts w:ascii="Times New Roman" w:hAnsi="Times New Roman" w:cs="Times New Roman"/>
          <w:lang w:val="en-CA"/>
        </w:rPr>
        <w:t xml:space="preserve"> compliance</w:t>
      </w:r>
      <w:r w:rsidR="00AA2D11" w:rsidRPr="00CC5771">
        <w:rPr>
          <w:rFonts w:ascii="Times New Roman" w:hAnsi="Times New Roman" w:cs="Times New Roman"/>
          <w:lang w:val="en-CA"/>
        </w:rPr>
        <w:t>.</w:t>
      </w:r>
      <w:r w:rsidR="008023DE" w:rsidRPr="00CC5771">
        <w:rPr>
          <w:rFonts w:ascii="Times New Roman" w:hAnsi="Times New Roman" w:cs="Times New Roman"/>
          <w:lang w:val="en-CA"/>
        </w:rPr>
        <w:t xml:space="preserve"> </w:t>
      </w:r>
      <w:r w:rsidR="00AA2D11" w:rsidRPr="00CC5771">
        <w:rPr>
          <w:rFonts w:ascii="Times New Roman" w:hAnsi="Times New Roman" w:cs="Times New Roman"/>
          <w:lang w:val="en-CA"/>
        </w:rPr>
        <w:t xml:space="preserve">A </w:t>
      </w:r>
      <w:r w:rsidRPr="00CC5771">
        <w:rPr>
          <w:rFonts w:ascii="Times New Roman" w:hAnsi="Times New Roman" w:cs="Times New Roman"/>
          <w:lang w:val="en-CA"/>
        </w:rPr>
        <w:t>critical</w:t>
      </w:r>
      <w:r w:rsidR="00AA2D11" w:rsidRPr="00CC5771">
        <w:rPr>
          <w:rFonts w:ascii="Times New Roman" w:hAnsi="Times New Roman" w:cs="Times New Roman"/>
          <w:lang w:val="en-CA"/>
        </w:rPr>
        <w:t xml:space="preserve"> observer might conclude that a school board</w:t>
      </w:r>
      <w:r w:rsidR="00912EC7">
        <w:rPr>
          <w:rFonts w:ascii="Times New Roman" w:hAnsi="Times New Roman" w:cs="Times New Roman"/>
          <w:lang w:val="en-CA"/>
        </w:rPr>
        <w:t>’</w:t>
      </w:r>
      <w:r w:rsidR="00AA2D11" w:rsidRPr="00CC5771">
        <w:rPr>
          <w:rFonts w:ascii="Times New Roman" w:hAnsi="Times New Roman" w:cs="Times New Roman"/>
          <w:lang w:val="en-CA"/>
        </w:rPr>
        <w:t xml:space="preserve">s decision to publish a policy in the aftermath of a legislative amendment constitutes little more than </w:t>
      </w:r>
      <w:r w:rsidR="00755A37" w:rsidRPr="00CC5771">
        <w:rPr>
          <w:rFonts w:ascii="Times New Roman" w:hAnsi="Times New Roman" w:cs="Times New Roman"/>
          <w:lang w:val="en-CA"/>
        </w:rPr>
        <w:t>an attempt to mitigate</w:t>
      </w:r>
      <w:r w:rsidR="00AA2D11" w:rsidRPr="00CC5771">
        <w:rPr>
          <w:rFonts w:ascii="Times New Roman" w:hAnsi="Times New Roman" w:cs="Times New Roman"/>
          <w:lang w:val="en-CA"/>
        </w:rPr>
        <w:t xml:space="preserve"> risk</w:t>
      </w:r>
      <w:r w:rsidR="000641DD">
        <w:rPr>
          <w:rFonts w:ascii="Times New Roman" w:hAnsi="Times New Roman" w:cs="Times New Roman"/>
          <w:lang w:val="en-CA"/>
        </w:rPr>
        <w:t>—</w:t>
      </w:r>
      <w:r w:rsidR="00AA2D11" w:rsidRPr="00CC5771">
        <w:rPr>
          <w:rFonts w:ascii="Times New Roman" w:hAnsi="Times New Roman" w:cs="Times New Roman"/>
          <w:lang w:val="en-CA"/>
        </w:rPr>
        <w:t xml:space="preserve">adding “gender identity” and “gender expression” to the Ontario </w:t>
      </w:r>
      <w:r w:rsidR="00AA2D11" w:rsidRPr="00CC5771">
        <w:rPr>
          <w:rFonts w:ascii="Times New Roman" w:hAnsi="Times New Roman" w:cs="Times New Roman"/>
          <w:i/>
          <w:lang w:val="en-CA"/>
        </w:rPr>
        <w:t>Human Rights Code</w:t>
      </w:r>
      <w:r w:rsidR="00CF2154" w:rsidRPr="00CC5771">
        <w:rPr>
          <w:rFonts w:ascii="Times New Roman" w:hAnsi="Times New Roman" w:cs="Times New Roman"/>
          <w:lang w:val="en-CA"/>
        </w:rPr>
        <w:t xml:space="preserve">, the story might go, </w:t>
      </w:r>
      <w:r w:rsidR="00AA2D11" w:rsidRPr="00CC5771">
        <w:rPr>
          <w:rFonts w:ascii="Times New Roman" w:hAnsi="Times New Roman" w:cs="Times New Roman"/>
          <w:lang w:val="en-CA"/>
        </w:rPr>
        <w:t xml:space="preserve">raised the specter of </w:t>
      </w:r>
      <w:r w:rsidR="00755A37" w:rsidRPr="00CC5771">
        <w:rPr>
          <w:rFonts w:ascii="Times New Roman" w:hAnsi="Times New Roman" w:cs="Times New Roman"/>
          <w:lang w:val="en-CA"/>
        </w:rPr>
        <w:t>liability</w:t>
      </w:r>
      <w:r w:rsidR="00AA2D11" w:rsidRPr="00CC5771">
        <w:rPr>
          <w:rFonts w:ascii="Times New Roman" w:hAnsi="Times New Roman" w:cs="Times New Roman"/>
          <w:lang w:val="en-CA"/>
        </w:rPr>
        <w:t>, such that school boards needed to develop policies to better ensure that they were complying with their</w:t>
      </w:r>
      <w:r w:rsidR="00755A37" w:rsidRPr="00CC5771">
        <w:rPr>
          <w:rFonts w:ascii="Times New Roman" w:hAnsi="Times New Roman" w:cs="Times New Roman"/>
          <w:lang w:val="en-CA"/>
        </w:rPr>
        <w:t xml:space="preserve"> new</w:t>
      </w:r>
      <w:r w:rsidR="00AA2D11" w:rsidRPr="00CC5771">
        <w:rPr>
          <w:rFonts w:ascii="Times New Roman" w:hAnsi="Times New Roman" w:cs="Times New Roman"/>
          <w:lang w:val="en-CA"/>
        </w:rPr>
        <w:t xml:space="preserve"> legal obligations.</w:t>
      </w:r>
      <w:r w:rsidR="00755A37" w:rsidRPr="00CC5771">
        <w:rPr>
          <w:rFonts w:ascii="Times New Roman" w:hAnsi="Times New Roman" w:cs="Times New Roman"/>
          <w:lang w:val="en-CA"/>
        </w:rPr>
        <w:t xml:space="preserve"> While</w:t>
      </w:r>
      <w:r w:rsidR="00CF2154" w:rsidRPr="00CC5771">
        <w:rPr>
          <w:rFonts w:ascii="Times New Roman" w:hAnsi="Times New Roman" w:cs="Times New Roman"/>
          <w:lang w:val="en-CA"/>
        </w:rPr>
        <w:t xml:space="preserve"> mitigating</w:t>
      </w:r>
      <w:r w:rsidR="00755A37" w:rsidRPr="00CC5771">
        <w:rPr>
          <w:rFonts w:ascii="Times New Roman" w:hAnsi="Times New Roman" w:cs="Times New Roman"/>
          <w:lang w:val="en-CA"/>
        </w:rPr>
        <w:t xml:space="preserve"> </w:t>
      </w:r>
      <w:r w:rsidR="00DC0EDC" w:rsidRPr="00CC5771">
        <w:rPr>
          <w:rFonts w:ascii="Times New Roman" w:hAnsi="Times New Roman" w:cs="Times New Roman"/>
          <w:lang w:val="en-CA"/>
        </w:rPr>
        <w:t>legal risk</w:t>
      </w:r>
      <w:r w:rsidR="00755A37" w:rsidRPr="00CC5771">
        <w:rPr>
          <w:rFonts w:ascii="Times New Roman" w:hAnsi="Times New Roman" w:cs="Times New Roman"/>
          <w:lang w:val="en-CA"/>
        </w:rPr>
        <w:t xml:space="preserve"> may </w:t>
      </w:r>
      <w:r w:rsidR="008023DE" w:rsidRPr="00CC5771">
        <w:rPr>
          <w:rFonts w:ascii="Times New Roman" w:hAnsi="Times New Roman" w:cs="Times New Roman"/>
          <w:lang w:val="en-CA"/>
        </w:rPr>
        <w:t xml:space="preserve">indeed </w:t>
      </w:r>
      <w:r w:rsidR="00755A37" w:rsidRPr="00CC5771">
        <w:rPr>
          <w:rFonts w:ascii="Times New Roman" w:hAnsi="Times New Roman" w:cs="Times New Roman"/>
          <w:lang w:val="en-CA"/>
        </w:rPr>
        <w:t xml:space="preserve">be </w:t>
      </w:r>
      <w:r w:rsidRPr="00CC5771">
        <w:rPr>
          <w:rFonts w:ascii="Times New Roman" w:hAnsi="Times New Roman" w:cs="Times New Roman"/>
          <w:lang w:val="en-CA"/>
        </w:rPr>
        <w:t>shaping</w:t>
      </w:r>
      <w:r w:rsidR="00755A37" w:rsidRPr="00CC5771">
        <w:rPr>
          <w:rFonts w:ascii="Times New Roman" w:hAnsi="Times New Roman" w:cs="Times New Roman"/>
          <w:lang w:val="en-CA"/>
        </w:rPr>
        <w:t xml:space="preserve"> the creation of policies seeking to comply with </w:t>
      </w:r>
      <w:r w:rsidR="00755A37" w:rsidRPr="00CC5771">
        <w:rPr>
          <w:rFonts w:ascii="Times New Roman" w:hAnsi="Times New Roman" w:cs="Times New Roman"/>
          <w:i/>
          <w:lang w:val="en-CA"/>
        </w:rPr>
        <w:t>Toby</w:t>
      </w:r>
      <w:r w:rsidR="00912EC7">
        <w:rPr>
          <w:rFonts w:ascii="Times New Roman" w:hAnsi="Times New Roman" w:cs="Times New Roman"/>
          <w:i/>
          <w:lang w:val="en-CA"/>
        </w:rPr>
        <w:t>’</w:t>
      </w:r>
      <w:r w:rsidR="00755A37" w:rsidRPr="00CC5771">
        <w:rPr>
          <w:rFonts w:ascii="Times New Roman" w:hAnsi="Times New Roman" w:cs="Times New Roman"/>
          <w:i/>
          <w:lang w:val="en-CA"/>
        </w:rPr>
        <w:t>s Act</w:t>
      </w:r>
      <w:r w:rsidR="00DC0EDC" w:rsidRPr="00CC5771">
        <w:rPr>
          <w:rFonts w:ascii="Times New Roman" w:hAnsi="Times New Roman" w:cs="Times New Roman"/>
          <w:lang w:val="en-CA"/>
        </w:rPr>
        <w:t>,</w:t>
      </w:r>
      <w:r w:rsidR="00755A37" w:rsidRPr="00CC5771">
        <w:rPr>
          <w:rFonts w:ascii="Times New Roman" w:hAnsi="Times New Roman" w:cs="Times New Roman"/>
          <w:lang w:val="en-CA"/>
        </w:rPr>
        <w:t xml:space="preserve"> our findings suggest </w:t>
      </w:r>
      <w:r w:rsidR="00DC0EDC" w:rsidRPr="00CC5771">
        <w:rPr>
          <w:rFonts w:ascii="Times New Roman" w:hAnsi="Times New Roman" w:cs="Times New Roman"/>
          <w:lang w:val="en-CA"/>
        </w:rPr>
        <w:t xml:space="preserve">that such an explanation </w:t>
      </w:r>
      <w:r w:rsidR="00F4695C" w:rsidRPr="00CC5771">
        <w:rPr>
          <w:rFonts w:ascii="Times New Roman" w:hAnsi="Times New Roman" w:cs="Times New Roman"/>
          <w:lang w:val="en-CA"/>
        </w:rPr>
        <w:t>may be</w:t>
      </w:r>
      <w:r w:rsidR="00DC0EDC" w:rsidRPr="00CC5771">
        <w:rPr>
          <w:rFonts w:ascii="Times New Roman" w:hAnsi="Times New Roman" w:cs="Times New Roman"/>
          <w:lang w:val="en-CA"/>
        </w:rPr>
        <w:t xml:space="preserve"> incomplete</w:t>
      </w:r>
      <w:r w:rsidR="00D97E6B" w:rsidRPr="00CC5771">
        <w:rPr>
          <w:rFonts w:ascii="Times New Roman" w:hAnsi="Times New Roman" w:cs="Times New Roman"/>
          <w:lang w:val="en-CA"/>
        </w:rPr>
        <w:t>.</w:t>
      </w:r>
      <w:r w:rsidR="00E81B73" w:rsidRPr="00CC5771">
        <w:rPr>
          <w:rFonts w:ascii="Times New Roman" w:hAnsi="Times New Roman" w:cs="Times New Roman"/>
          <w:lang w:val="en-CA"/>
        </w:rPr>
        <w:t xml:space="preserve"> </w:t>
      </w:r>
    </w:p>
    <w:p w14:paraId="3CA3B519" w14:textId="6E987248" w:rsidR="00987C57" w:rsidRPr="00CC5771" w:rsidRDefault="00E602D2"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Given school boards</w:t>
      </w:r>
      <w:r w:rsidR="00912EC7">
        <w:rPr>
          <w:rFonts w:ascii="Times New Roman" w:hAnsi="Times New Roman" w:cs="Times New Roman"/>
          <w:lang w:val="en-CA"/>
        </w:rPr>
        <w:t>’</w:t>
      </w:r>
      <w:r w:rsidRPr="00CC5771">
        <w:rPr>
          <w:rFonts w:ascii="Times New Roman" w:hAnsi="Times New Roman" w:cs="Times New Roman"/>
          <w:lang w:val="en-CA"/>
        </w:rPr>
        <w:t xml:space="preserve"> lack of adherence to the definitions offered in the OHRC policy, we suggest that such policies are doing more than simply attempting to comply with the law. Rather, these policies are shaping “gender identity” and “gender expression” in ways that alter their meaning and, potentially, how they are preventatively or reactively applied in school settings. Furthermore, we suggest that such policies have the power to shape our collective understanding of what these human rights categories mean because the Ontario public education system is so vast</w:t>
      </w:r>
      <w:r w:rsidR="000641DD">
        <w:rPr>
          <w:rFonts w:ascii="Times New Roman" w:hAnsi="Times New Roman" w:cs="Times New Roman"/>
          <w:lang w:val="en-CA"/>
        </w:rPr>
        <w:t>—</w:t>
      </w:r>
      <w:r w:rsidRPr="00CC5771">
        <w:rPr>
          <w:rFonts w:ascii="Times New Roman" w:hAnsi="Times New Roman" w:cs="Times New Roman"/>
          <w:lang w:val="en-CA"/>
        </w:rPr>
        <w:t>indeed, this system ma</w:t>
      </w:r>
      <w:r w:rsidR="00D3543C" w:rsidRPr="00CC5771">
        <w:rPr>
          <w:rFonts w:ascii="Times New Roman" w:hAnsi="Times New Roman" w:cs="Times New Roman"/>
          <w:lang w:val="en-CA"/>
        </w:rPr>
        <w:t>y be one of the primary public vehicles</w:t>
      </w:r>
      <w:r w:rsidRPr="00CC5771">
        <w:rPr>
          <w:rFonts w:ascii="Times New Roman" w:hAnsi="Times New Roman" w:cs="Times New Roman"/>
          <w:lang w:val="en-CA"/>
        </w:rPr>
        <w:t xml:space="preserve"> in Ontario for </w:t>
      </w:r>
      <w:r w:rsidRPr="00CC5771">
        <w:rPr>
          <w:rFonts w:ascii="Times New Roman" w:hAnsi="Times New Roman" w:cs="Times New Roman"/>
          <w:lang w:val="en-CA"/>
        </w:rPr>
        <w:lastRenderedPageBreak/>
        <w:t xml:space="preserve">communicating what these new human rights grounds mean and do not mean, including who they do and do not protect. While this paper focuses on Ontario, we suspect that a similar dynamic may be playing out in other provinces and territories across Canada. </w:t>
      </w:r>
      <w:r w:rsidR="00B911FD" w:rsidRPr="00CC5771">
        <w:rPr>
          <w:rFonts w:ascii="Times New Roman" w:hAnsi="Times New Roman" w:cs="Times New Roman"/>
          <w:lang w:val="en-CA"/>
        </w:rPr>
        <w:t xml:space="preserve">Figure 1 </w:t>
      </w:r>
      <w:r w:rsidR="001721C4" w:rsidRPr="00CC5771">
        <w:rPr>
          <w:rFonts w:ascii="Times New Roman" w:hAnsi="Times New Roman" w:cs="Times New Roman"/>
          <w:lang w:val="en-CA"/>
        </w:rPr>
        <w:t>is a chart summarizing the fidelity</w:t>
      </w:r>
      <w:r w:rsidRPr="00CC5771">
        <w:rPr>
          <w:rFonts w:ascii="Times New Roman" w:hAnsi="Times New Roman" w:cs="Times New Roman"/>
          <w:lang w:val="en-CA"/>
        </w:rPr>
        <w:t xml:space="preserve"> score assigned to each definition of “gender identity” and “gender expression</w:t>
      </w:r>
      <w:r w:rsidR="009C3F79">
        <w:rPr>
          <w:rFonts w:ascii="Times New Roman" w:hAnsi="Times New Roman" w:cs="Times New Roman"/>
          <w:lang w:val="en-CA"/>
        </w:rPr>
        <w:t>.”</w:t>
      </w:r>
    </w:p>
    <w:p w14:paraId="2AB248E4" w14:textId="77F917ED" w:rsidR="00A930BA" w:rsidRPr="00BF02CB" w:rsidRDefault="00A930BA" w:rsidP="004D0F4E">
      <w:pPr>
        <w:spacing w:after="240" w:line="480" w:lineRule="auto"/>
        <w:rPr>
          <w:rFonts w:ascii="Times New Roman" w:hAnsi="Times New Roman" w:cs="Times New Roman"/>
          <w:color w:val="FF0000"/>
          <w:lang w:val="en-CA"/>
        </w:rPr>
      </w:pPr>
      <w:r w:rsidRPr="00BF02CB">
        <w:rPr>
          <w:rFonts w:ascii="Times New Roman" w:eastAsia="Times New Roman" w:hAnsi="Times New Roman" w:cs="Times New Roman"/>
          <w:color w:val="FF0000"/>
          <w:lang w:val="en-CA"/>
        </w:rPr>
        <w:t>[Insert Figure 1 about here]</w:t>
      </w:r>
    </w:p>
    <w:p w14:paraId="51BDB3C7" w14:textId="25F474FF" w:rsidR="008023DE" w:rsidRPr="00CC5771" w:rsidRDefault="004E1AF2"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Beyond the fidelity</w:t>
      </w:r>
      <w:r w:rsidR="00E602D2" w:rsidRPr="00CC5771">
        <w:rPr>
          <w:rFonts w:ascii="Times New Roman" w:hAnsi="Times New Roman" w:cs="Times New Roman"/>
          <w:lang w:val="en-CA"/>
        </w:rPr>
        <w:t xml:space="preserve"> score assigned to each definition, the</w:t>
      </w:r>
      <w:r w:rsidR="008E7A70" w:rsidRPr="00CC5771">
        <w:rPr>
          <w:rFonts w:ascii="Times New Roman" w:hAnsi="Times New Roman" w:cs="Times New Roman"/>
          <w:lang w:val="en-CA"/>
        </w:rPr>
        <w:t xml:space="preserve"> educative function</w:t>
      </w:r>
      <w:r w:rsidR="00180BD9" w:rsidRPr="00CC5771">
        <w:rPr>
          <w:rFonts w:ascii="Times New Roman" w:hAnsi="Times New Roman" w:cs="Times New Roman"/>
          <w:lang w:val="en-CA"/>
        </w:rPr>
        <w:t xml:space="preserve"> of the newly</w:t>
      </w:r>
      <w:r w:rsidR="00295F24">
        <w:rPr>
          <w:rFonts w:ascii="Times New Roman" w:hAnsi="Times New Roman" w:cs="Times New Roman"/>
          <w:lang w:val="en-CA"/>
        </w:rPr>
        <w:t xml:space="preserve"> </w:t>
      </w:r>
      <w:r w:rsidR="00180BD9" w:rsidRPr="00CC5771">
        <w:rPr>
          <w:rFonts w:ascii="Times New Roman" w:hAnsi="Times New Roman" w:cs="Times New Roman"/>
          <w:lang w:val="en-CA"/>
        </w:rPr>
        <w:t xml:space="preserve">crafted policies </w:t>
      </w:r>
      <w:r w:rsidR="00D577C6" w:rsidRPr="00CC5771">
        <w:rPr>
          <w:rFonts w:ascii="Times New Roman" w:hAnsi="Times New Roman" w:cs="Times New Roman"/>
          <w:lang w:val="en-CA"/>
        </w:rPr>
        <w:t xml:space="preserve">is </w:t>
      </w:r>
      <w:r w:rsidR="00E602D2" w:rsidRPr="00CC5771">
        <w:rPr>
          <w:rFonts w:ascii="Times New Roman" w:hAnsi="Times New Roman" w:cs="Times New Roman"/>
          <w:lang w:val="en-CA"/>
        </w:rPr>
        <w:t xml:space="preserve">also </w:t>
      </w:r>
      <w:r w:rsidR="008023DE" w:rsidRPr="00CC5771">
        <w:rPr>
          <w:rFonts w:ascii="Times New Roman" w:hAnsi="Times New Roman" w:cs="Times New Roman"/>
          <w:lang w:val="en-CA"/>
        </w:rPr>
        <w:t xml:space="preserve">underscored </w:t>
      </w:r>
      <w:r w:rsidR="009B0185" w:rsidRPr="00CC5771">
        <w:rPr>
          <w:rFonts w:ascii="Times New Roman" w:hAnsi="Times New Roman" w:cs="Times New Roman"/>
          <w:lang w:val="en-CA"/>
        </w:rPr>
        <w:t>by</w:t>
      </w:r>
      <w:r w:rsidR="008023DE" w:rsidRPr="00CC5771">
        <w:rPr>
          <w:rFonts w:ascii="Times New Roman" w:hAnsi="Times New Roman" w:cs="Times New Roman"/>
          <w:lang w:val="en-CA"/>
        </w:rPr>
        <w:t xml:space="preserve"> the typ</w:t>
      </w:r>
      <w:r w:rsidR="009B0185" w:rsidRPr="00CC5771">
        <w:rPr>
          <w:rFonts w:ascii="Times New Roman" w:hAnsi="Times New Roman" w:cs="Times New Roman"/>
          <w:lang w:val="en-CA"/>
        </w:rPr>
        <w:t xml:space="preserve">ographical features of the </w:t>
      </w:r>
      <w:r w:rsidR="00CF2154" w:rsidRPr="00CC5771">
        <w:rPr>
          <w:rFonts w:ascii="Times New Roman" w:hAnsi="Times New Roman" w:cs="Times New Roman"/>
          <w:lang w:val="en-CA"/>
        </w:rPr>
        <w:t>various policies</w:t>
      </w:r>
      <w:r w:rsidR="009B0185" w:rsidRPr="00CC5771">
        <w:rPr>
          <w:rFonts w:ascii="Times New Roman" w:hAnsi="Times New Roman" w:cs="Times New Roman"/>
          <w:lang w:val="en-CA"/>
        </w:rPr>
        <w:t xml:space="preserve">, which </w:t>
      </w:r>
      <w:r w:rsidR="00D577C6" w:rsidRPr="00CC5771">
        <w:rPr>
          <w:rFonts w:ascii="Times New Roman" w:hAnsi="Times New Roman" w:cs="Times New Roman"/>
          <w:lang w:val="en-CA"/>
        </w:rPr>
        <w:t xml:space="preserve">indicate </w:t>
      </w:r>
      <w:r w:rsidR="009B0185" w:rsidRPr="00CC5771">
        <w:rPr>
          <w:rFonts w:ascii="Times New Roman" w:hAnsi="Times New Roman" w:cs="Times New Roman"/>
          <w:lang w:val="en-CA"/>
        </w:rPr>
        <w:t xml:space="preserve">that </w:t>
      </w:r>
      <w:r w:rsidR="00CF2154" w:rsidRPr="00CC5771">
        <w:rPr>
          <w:rFonts w:ascii="Times New Roman" w:hAnsi="Times New Roman" w:cs="Times New Roman"/>
          <w:lang w:val="en-CA"/>
        </w:rPr>
        <w:t>almost all were</w:t>
      </w:r>
      <w:r w:rsidR="009B0185" w:rsidRPr="00CC5771">
        <w:rPr>
          <w:rFonts w:ascii="Times New Roman" w:hAnsi="Times New Roman" w:cs="Times New Roman"/>
          <w:lang w:val="en-CA"/>
        </w:rPr>
        <w:t xml:space="preserve"> designed to be public facing</w:t>
      </w:r>
      <w:r w:rsidR="008E7A70" w:rsidRPr="00CC5771">
        <w:rPr>
          <w:rFonts w:ascii="Times New Roman" w:hAnsi="Times New Roman" w:cs="Times New Roman"/>
          <w:lang w:val="en-CA"/>
        </w:rPr>
        <w:t xml:space="preserve"> and</w:t>
      </w:r>
      <w:r w:rsidR="009B0185" w:rsidRPr="00CC5771">
        <w:rPr>
          <w:rFonts w:ascii="Times New Roman" w:hAnsi="Times New Roman" w:cs="Times New Roman"/>
          <w:lang w:val="en-CA"/>
        </w:rPr>
        <w:t xml:space="preserve"> </w:t>
      </w:r>
      <w:r w:rsidR="008F0C29" w:rsidRPr="00CC5771">
        <w:rPr>
          <w:rFonts w:ascii="Times New Roman" w:hAnsi="Times New Roman" w:cs="Times New Roman"/>
          <w:lang w:val="en-CA"/>
        </w:rPr>
        <w:t>to educate</w:t>
      </w:r>
      <w:r w:rsidR="009B0185" w:rsidRPr="00CC5771">
        <w:rPr>
          <w:rFonts w:ascii="Times New Roman" w:hAnsi="Times New Roman" w:cs="Times New Roman"/>
          <w:lang w:val="en-CA"/>
        </w:rPr>
        <w:t xml:space="preserve"> parents, teachers, students, and other interested parties</w:t>
      </w:r>
      <w:r w:rsidR="008F0C29" w:rsidRPr="00CC5771">
        <w:rPr>
          <w:rFonts w:ascii="Times New Roman" w:hAnsi="Times New Roman" w:cs="Times New Roman"/>
          <w:lang w:val="en-CA"/>
        </w:rPr>
        <w:t xml:space="preserve"> about these grounds</w:t>
      </w:r>
      <w:r w:rsidR="00CF2154" w:rsidRPr="00CC5771">
        <w:rPr>
          <w:rFonts w:ascii="Times New Roman" w:hAnsi="Times New Roman" w:cs="Times New Roman"/>
          <w:lang w:val="en-CA"/>
        </w:rPr>
        <w:t xml:space="preserve">. </w:t>
      </w:r>
      <w:r w:rsidR="003C31B8" w:rsidRPr="00CC5771">
        <w:rPr>
          <w:rFonts w:ascii="Times New Roman" w:hAnsi="Times New Roman" w:cs="Times New Roman"/>
          <w:lang w:val="en-CA"/>
        </w:rPr>
        <w:t>In short</w:t>
      </w:r>
      <w:r w:rsidR="00CF2154" w:rsidRPr="00CC5771">
        <w:rPr>
          <w:rFonts w:ascii="Times New Roman" w:hAnsi="Times New Roman" w:cs="Times New Roman"/>
          <w:lang w:val="en-CA"/>
        </w:rPr>
        <w:t xml:space="preserve">, these documents </w:t>
      </w:r>
      <w:r w:rsidR="00F4695C" w:rsidRPr="00CC5771">
        <w:rPr>
          <w:rFonts w:ascii="Times New Roman" w:hAnsi="Times New Roman" w:cs="Times New Roman"/>
          <w:lang w:val="en-CA"/>
        </w:rPr>
        <w:t>seem to be</w:t>
      </w:r>
      <w:r w:rsidR="00CF2154" w:rsidRPr="00CC5771">
        <w:rPr>
          <w:rFonts w:ascii="Times New Roman" w:hAnsi="Times New Roman" w:cs="Times New Roman"/>
          <w:lang w:val="en-CA"/>
        </w:rPr>
        <w:t xml:space="preserve"> doing more than simply mitigating the risk associated with </w:t>
      </w:r>
      <w:r w:rsidR="009B0185" w:rsidRPr="00CC5771">
        <w:rPr>
          <w:rFonts w:ascii="Times New Roman" w:hAnsi="Times New Roman" w:cs="Times New Roman"/>
          <w:lang w:val="en-CA"/>
        </w:rPr>
        <w:t>human rights complaint</w:t>
      </w:r>
      <w:r w:rsidR="00CF2154" w:rsidRPr="00CC5771">
        <w:rPr>
          <w:rFonts w:ascii="Times New Roman" w:hAnsi="Times New Roman" w:cs="Times New Roman"/>
          <w:lang w:val="en-CA"/>
        </w:rPr>
        <w:t>s</w:t>
      </w:r>
      <w:r w:rsidR="009B0185" w:rsidRPr="00CC5771">
        <w:rPr>
          <w:rFonts w:ascii="Times New Roman" w:hAnsi="Times New Roman" w:cs="Times New Roman"/>
          <w:lang w:val="en-CA"/>
        </w:rPr>
        <w:t>.</w:t>
      </w:r>
      <w:r w:rsidR="008023DE" w:rsidRPr="00CC5771">
        <w:rPr>
          <w:rFonts w:ascii="Times New Roman" w:hAnsi="Times New Roman" w:cs="Times New Roman"/>
          <w:lang w:val="en-CA"/>
        </w:rPr>
        <w:t xml:space="preserve"> </w:t>
      </w:r>
      <w:r w:rsidR="009B0185" w:rsidRPr="00CC5771">
        <w:rPr>
          <w:rFonts w:ascii="Times New Roman" w:hAnsi="Times New Roman" w:cs="Times New Roman"/>
          <w:lang w:val="en-CA"/>
        </w:rPr>
        <w:t>For example, published in February 2016, the Ottawa-Carleton District School Board</w:t>
      </w:r>
      <w:r w:rsidR="00912EC7">
        <w:rPr>
          <w:rFonts w:ascii="Times New Roman" w:hAnsi="Times New Roman" w:cs="Times New Roman"/>
          <w:lang w:val="en-CA"/>
        </w:rPr>
        <w:t>’</w:t>
      </w:r>
      <w:r w:rsidR="009B0185" w:rsidRPr="00CC5771">
        <w:rPr>
          <w:rFonts w:ascii="Times New Roman" w:hAnsi="Times New Roman" w:cs="Times New Roman"/>
          <w:lang w:val="en-CA"/>
        </w:rPr>
        <w:t xml:space="preserve">s </w:t>
      </w:r>
      <w:r w:rsidR="009B0185" w:rsidRPr="00CC5771">
        <w:rPr>
          <w:rFonts w:ascii="Times New Roman" w:hAnsi="Times New Roman" w:cs="Times New Roman"/>
          <w:i/>
          <w:lang w:val="en-CA"/>
        </w:rPr>
        <w:t>Gender Identity and Gender Expression: Guide to Support our Students</w:t>
      </w:r>
      <w:r w:rsidR="009B0185" w:rsidRPr="00CC5771">
        <w:rPr>
          <w:rFonts w:ascii="Times New Roman" w:hAnsi="Times New Roman" w:cs="Times New Roman"/>
          <w:lang w:val="en-CA"/>
        </w:rPr>
        <w:t xml:space="preserve">, </w:t>
      </w:r>
      <w:r w:rsidR="00AC3AAD" w:rsidRPr="00CC5771">
        <w:rPr>
          <w:rFonts w:ascii="Times New Roman" w:hAnsi="Times New Roman" w:cs="Times New Roman"/>
          <w:lang w:val="en-CA"/>
        </w:rPr>
        <w:t xml:space="preserve">is clearly designed to serve an educative function. While the policy makes several references to the Ontario </w:t>
      </w:r>
      <w:r w:rsidR="00AC3AAD" w:rsidRPr="00CC5771">
        <w:rPr>
          <w:rFonts w:ascii="Times New Roman" w:hAnsi="Times New Roman" w:cs="Times New Roman"/>
          <w:i/>
          <w:lang w:val="en-CA"/>
        </w:rPr>
        <w:t>Human Rights Code</w:t>
      </w:r>
      <w:r w:rsidR="00AC3AAD" w:rsidRPr="00CC5771">
        <w:rPr>
          <w:rFonts w:ascii="Times New Roman" w:hAnsi="Times New Roman" w:cs="Times New Roman"/>
          <w:lang w:val="en-CA"/>
        </w:rPr>
        <w:t xml:space="preserve">, revealing that the text is being mediated </w:t>
      </w:r>
      <w:r w:rsidR="008E7A70" w:rsidRPr="00CC5771">
        <w:rPr>
          <w:rFonts w:ascii="Times New Roman" w:hAnsi="Times New Roman" w:cs="Times New Roman"/>
          <w:lang w:val="en-CA"/>
        </w:rPr>
        <w:t xml:space="preserve">by </w:t>
      </w:r>
      <w:r w:rsidR="00AC3AAD" w:rsidRPr="00CC5771">
        <w:rPr>
          <w:rFonts w:ascii="Times New Roman" w:hAnsi="Times New Roman" w:cs="Times New Roman"/>
          <w:lang w:val="en-CA"/>
        </w:rPr>
        <w:t xml:space="preserve">legal </w:t>
      </w:r>
      <w:r w:rsidR="00A53E6C" w:rsidRPr="00CC5771">
        <w:rPr>
          <w:rFonts w:ascii="Times New Roman" w:hAnsi="Times New Roman" w:cs="Times New Roman"/>
          <w:lang w:val="en-CA"/>
        </w:rPr>
        <w:t>discourse</w:t>
      </w:r>
      <w:r w:rsidR="00AC3AAD" w:rsidRPr="00CC5771">
        <w:rPr>
          <w:rFonts w:ascii="Times New Roman" w:hAnsi="Times New Roman" w:cs="Times New Roman"/>
          <w:lang w:val="en-CA"/>
        </w:rPr>
        <w:t xml:space="preserve">, the text </w:t>
      </w:r>
      <w:r w:rsidR="008E7A70" w:rsidRPr="00CC5771">
        <w:rPr>
          <w:rFonts w:ascii="Times New Roman" w:hAnsi="Times New Roman" w:cs="Times New Roman"/>
          <w:lang w:val="en-CA"/>
        </w:rPr>
        <w:t xml:space="preserve">is </w:t>
      </w:r>
      <w:r w:rsidR="00CF2154" w:rsidRPr="00CC5771">
        <w:rPr>
          <w:rFonts w:ascii="Times New Roman" w:hAnsi="Times New Roman" w:cs="Times New Roman"/>
          <w:lang w:val="en-CA"/>
        </w:rPr>
        <w:t xml:space="preserve">consistently </w:t>
      </w:r>
      <w:r w:rsidR="00D577C6" w:rsidRPr="00CC5771">
        <w:rPr>
          <w:rFonts w:ascii="Times New Roman" w:hAnsi="Times New Roman" w:cs="Times New Roman"/>
          <w:lang w:val="en-CA"/>
        </w:rPr>
        <w:t>educative</w:t>
      </w:r>
      <w:r w:rsidR="00AC3AAD" w:rsidRPr="00CC5771">
        <w:rPr>
          <w:rFonts w:ascii="Times New Roman" w:hAnsi="Times New Roman" w:cs="Times New Roman"/>
          <w:lang w:val="en-CA"/>
        </w:rPr>
        <w:t>. Beyond its bright and colou</w:t>
      </w:r>
      <w:r w:rsidR="007C4645" w:rsidRPr="00CC5771">
        <w:rPr>
          <w:rFonts w:ascii="Times New Roman" w:hAnsi="Times New Roman" w:cs="Times New Roman"/>
          <w:lang w:val="en-CA"/>
        </w:rPr>
        <w:t>rful features, the policy also contains a number of graphics designed to explain the meaning of terms such as “gender identity</w:t>
      </w:r>
      <w:r w:rsidR="0025037B">
        <w:rPr>
          <w:rFonts w:ascii="Times New Roman" w:hAnsi="Times New Roman" w:cs="Times New Roman"/>
          <w:lang w:val="en-CA"/>
        </w:rPr>
        <w:t>,</w:t>
      </w:r>
      <w:r w:rsidR="007C4645" w:rsidRPr="00CC5771">
        <w:rPr>
          <w:rFonts w:ascii="Times New Roman" w:hAnsi="Times New Roman" w:cs="Times New Roman"/>
          <w:lang w:val="en-CA"/>
        </w:rPr>
        <w:t>” “gender expression</w:t>
      </w:r>
      <w:r w:rsidR="0025037B">
        <w:rPr>
          <w:rFonts w:ascii="Times New Roman" w:hAnsi="Times New Roman" w:cs="Times New Roman"/>
          <w:lang w:val="en-CA"/>
        </w:rPr>
        <w:t>,</w:t>
      </w:r>
      <w:r w:rsidR="007C4645" w:rsidRPr="00CC5771">
        <w:rPr>
          <w:rFonts w:ascii="Times New Roman" w:hAnsi="Times New Roman" w:cs="Times New Roman"/>
          <w:lang w:val="en-CA"/>
        </w:rPr>
        <w:t>” “gender spectrum</w:t>
      </w:r>
      <w:r w:rsidR="0025037B">
        <w:rPr>
          <w:rFonts w:ascii="Times New Roman" w:hAnsi="Times New Roman" w:cs="Times New Roman"/>
          <w:lang w:val="en-CA"/>
        </w:rPr>
        <w:t>,</w:t>
      </w:r>
      <w:r w:rsidR="007C4645" w:rsidRPr="00CC5771">
        <w:rPr>
          <w:rFonts w:ascii="Times New Roman" w:hAnsi="Times New Roman" w:cs="Times New Roman"/>
          <w:lang w:val="en-CA"/>
        </w:rPr>
        <w:t>” and “gender fluidity</w:t>
      </w:r>
      <w:r w:rsidR="0025037B">
        <w:rPr>
          <w:rFonts w:ascii="Times New Roman" w:hAnsi="Times New Roman" w:cs="Times New Roman"/>
          <w:lang w:val="en-CA"/>
        </w:rPr>
        <w:t>.</w:t>
      </w:r>
      <w:r w:rsidR="007C4645" w:rsidRPr="00CC5771">
        <w:rPr>
          <w:rFonts w:ascii="Times New Roman" w:hAnsi="Times New Roman" w:cs="Times New Roman"/>
          <w:lang w:val="en-CA"/>
        </w:rPr>
        <w:t xml:space="preserve">” </w:t>
      </w:r>
      <w:r w:rsidR="005E0AA9" w:rsidRPr="00CC5771">
        <w:rPr>
          <w:rFonts w:ascii="Times New Roman" w:hAnsi="Times New Roman" w:cs="Times New Roman"/>
          <w:lang w:val="en-CA"/>
        </w:rPr>
        <w:t>One graphic</w:t>
      </w:r>
      <w:r w:rsidR="007C4645" w:rsidRPr="00CC5771">
        <w:rPr>
          <w:rFonts w:ascii="Times New Roman" w:hAnsi="Times New Roman" w:cs="Times New Roman"/>
          <w:lang w:val="en-CA"/>
        </w:rPr>
        <w:t xml:space="preserve"> uses blue and pink colours in an effort to explain </w:t>
      </w:r>
      <w:r w:rsidR="00CF2154" w:rsidRPr="00CC5771">
        <w:rPr>
          <w:rFonts w:ascii="Times New Roman" w:hAnsi="Times New Roman" w:cs="Times New Roman"/>
          <w:lang w:val="en-CA"/>
        </w:rPr>
        <w:t>the concept of “gender fluidity</w:t>
      </w:r>
      <w:r w:rsidR="00B06B77">
        <w:rPr>
          <w:rFonts w:ascii="Times New Roman" w:hAnsi="Times New Roman" w:cs="Times New Roman"/>
          <w:lang w:val="en-CA"/>
        </w:rPr>
        <w:t>,</w:t>
      </w:r>
      <w:r w:rsidR="00CF2154" w:rsidRPr="00CC5771">
        <w:rPr>
          <w:rFonts w:ascii="Times New Roman" w:hAnsi="Times New Roman" w:cs="Times New Roman"/>
          <w:lang w:val="en-CA"/>
        </w:rPr>
        <w:t xml:space="preserve">” with a series of stick figures </w:t>
      </w:r>
      <w:r w:rsidR="00295F24">
        <w:rPr>
          <w:rFonts w:ascii="Times New Roman" w:hAnsi="Times New Roman" w:cs="Times New Roman"/>
          <w:lang w:val="en-CA"/>
        </w:rPr>
        <w:t>with</w:t>
      </w:r>
      <w:r w:rsidR="00CF2154" w:rsidRPr="00CC5771">
        <w:rPr>
          <w:rFonts w:ascii="Times New Roman" w:hAnsi="Times New Roman" w:cs="Times New Roman"/>
          <w:lang w:val="en-CA"/>
        </w:rPr>
        <w:t xml:space="preserve"> various parts of their bodies painted in blue and pink</w:t>
      </w:r>
      <w:r w:rsidR="005E0AA9" w:rsidRPr="00CC5771">
        <w:rPr>
          <w:rFonts w:ascii="Times New Roman" w:hAnsi="Times New Roman" w:cs="Times New Roman"/>
          <w:lang w:val="en-CA"/>
        </w:rPr>
        <w:t xml:space="preserve"> (</w:t>
      </w:r>
      <w:r w:rsidR="0081315A" w:rsidRPr="00CC5771">
        <w:rPr>
          <w:rFonts w:ascii="Times New Roman" w:hAnsi="Times New Roman" w:cs="Times New Roman"/>
          <w:lang w:val="en-CA"/>
        </w:rPr>
        <w:t xml:space="preserve">Appendix 2, </w:t>
      </w:r>
      <w:r w:rsidR="005E0AA9" w:rsidRPr="00CC5771">
        <w:rPr>
          <w:rFonts w:ascii="Times New Roman" w:hAnsi="Times New Roman" w:cs="Times New Roman"/>
          <w:lang w:val="en-CA"/>
        </w:rPr>
        <w:t xml:space="preserve">Figure </w:t>
      </w:r>
      <w:r w:rsidR="00D84D65">
        <w:rPr>
          <w:rFonts w:ascii="Times New Roman" w:hAnsi="Times New Roman" w:cs="Times New Roman"/>
          <w:lang w:val="en-CA"/>
        </w:rPr>
        <w:t>2</w:t>
      </w:r>
      <w:r w:rsidR="005E0AA9" w:rsidRPr="00CC5771">
        <w:rPr>
          <w:rFonts w:ascii="Times New Roman" w:hAnsi="Times New Roman" w:cs="Times New Roman"/>
          <w:lang w:val="en-CA"/>
        </w:rPr>
        <w:t>)</w:t>
      </w:r>
      <w:r w:rsidR="007C4645" w:rsidRPr="00CC5771">
        <w:rPr>
          <w:rFonts w:ascii="Times New Roman" w:hAnsi="Times New Roman" w:cs="Times New Roman"/>
          <w:lang w:val="en-CA"/>
        </w:rPr>
        <w:t xml:space="preserve">. </w:t>
      </w:r>
      <w:r w:rsidR="00592622" w:rsidRPr="00CC5771">
        <w:rPr>
          <w:rFonts w:ascii="Times New Roman" w:hAnsi="Times New Roman" w:cs="Times New Roman"/>
          <w:lang w:val="en-CA"/>
        </w:rPr>
        <w:t>T</w:t>
      </w:r>
      <w:r w:rsidR="008F0C29" w:rsidRPr="00CC5771">
        <w:rPr>
          <w:rFonts w:ascii="Times New Roman" w:hAnsi="Times New Roman" w:cs="Times New Roman"/>
          <w:lang w:val="en-CA"/>
        </w:rPr>
        <w:t>his is an odd and erroneous rep</w:t>
      </w:r>
      <w:r w:rsidR="00A53E6C" w:rsidRPr="00CC5771">
        <w:rPr>
          <w:rFonts w:ascii="Times New Roman" w:hAnsi="Times New Roman" w:cs="Times New Roman"/>
          <w:lang w:val="en-CA"/>
        </w:rPr>
        <w:t>resentation of “gender fluidity</w:t>
      </w:r>
      <w:r w:rsidR="00B06B77">
        <w:rPr>
          <w:rFonts w:ascii="Times New Roman" w:hAnsi="Times New Roman" w:cs="Times New Roman"/>
          <w:lang w:val="en-CA"/>
        </w:rPr>
        <w:t>,</w:t>
      </w:r>
      <w:r w:rsidR="00A53E6C" w:rsidRPr="00CC5771">
        <w:rPr>
          <w:rFonts w:ascii="Times New Roman" w:hAnsi="Times New Roman" w:cs="Times New Roman"/>
          <w:lang w:val="en-CA"/>
        </w:rPr>
        <w:t>”</w:t>
      </w:r>
      <w:r w:rsidR="008F0C29" w:rsidRPr="00CC5771">
        <w:rPr>
          <w:rFonts w:ascii="Times New Roman" w:hAnsi="Times New Roman" w:cs="Times New Roman"/>
          <w:lang w:val="en-CA"/>
        </w:rPr>
        <w:t xml:space="preserve"> as its common usage in transgender-spectrum communities refers to fluidity </w:t>
      </w:r>
      <w:r w:rsidR="00592622" w:rsidRPr="00CC5771">
        <w:rPr>
          <w:rFonts w:ascii="Times New Roman" w:hAnsi="Times New Roman" w:cs="Times New Roman"/>
          <w:lang w:val="en-CA"/>
        </w:rPr>
        <w:t>in a person</w:t>
      </w:r>
      <w:r w:rsidR="00912EC7">
        <w:rPr>
          <w:rFonts w:ascii="Times New Roman" w:hAnsi="Times New Roman" w:cs="Times New Roman"/>
          <w:lang w:val="en-CA"/>
        </w:rPr>
        <w:t>’</w:t>
      </w:r>
      <w:r w:rsidR="00592622" w:rsidRPr="00CC5771">
        <w:rPr>
          <w:rFonts w:ascii="Times New Roman" w:hAnsi="Times New Roman" w:cs="Times New Roman"/>
          <w:lang w:val="en-CA"/>
        </w:rPr>
        <w:t xml:space="preserve">s gender </w:t>
      </w:r>
      <w:r w:rsidR="008F0C29" w:rsidRPr="00CC5771">
        <w:rPr>
          <w:rFonts w:ascii="Times New Roman" w:hAnsi="Times New Roman" w:cs="Times New Roman"/>
          <w:lang w:val="en-CA"/>
        </w:rPr>
        <w:t>across time and no</w:t>
      </w:r>
      <w:r w:rsidR="00592622" w:rsidRPr="00CC5771">
        <w:rPr>
          <w:rFonts w:ascii="Times New Roman" w:hAnsi="Times New Roman" w:cs="Times New Roman"/>
          <w:lang w:val="en-CA"/>
        </w:rPr>
        <w:t xml:space="preserve">t </w:t>
      </w:r>
      <w:r w:rsidR="008F0C29" w:rsidRPr="00CC5771">
        <w:rPr>
          <w:rFonts w:ascii="Times New Roman" w:hAnsi="Times New Roman" w:cs="Times New Roman"/>
          <w:lang w:val="en-CA"/>
        </w:rPr>
        <w:t>different parts of the same individual</w:t>
      </w:r>
      <w:r w:rsidR="00912EC7">
        <w:rPr>
          <w:rFonts w:ascii="Times New Roman" w:hAnsi="Times New Roman" w:cs="Times New Roman"/>
          <w:lang w:val="en-CA"/>
        </w:rPr>
        <w:t>’</w:t>
      </w:r>
      <w:r w:rsidR="008F0C29" w:rsidRPr="00CC5771">
        <w:rPr>
          <w:rFonts w:ascii="Times New Roman" w:hAnsi="Times New Roman" w:cs="Times New Roman"/>
          <w:lang w:val="en-CA"/>
        </w:rPr>
        <w:t>s body</w:t>
      </w:r>
      <w:r w:rsidR="00592622" w:rsidRPr="00CC5771">
        <w:rPr>
          <w:rFonts w:ascii="Times New Roman" w:hAnsi="Times New Roman" w:cs="Times New Roman"/>
          <w:lang w:val="en-CA"/>
        </w:rPr>
        <w:t xml:space="preserve"> being variously gendered at the same time</w:t>
      </w:r>
      <w:r w:rsidR="008F0C29" w:rsidRPr="00CC5771">
        <w:rPr>
          <w:rFonts w:ascii="Times New Roman" w:hAnsi="Times New Roman" w:cs="Times New Roman"/>
          <w:lang w:val="en-CA"/>
        </w:rPr>
        <w:t>.</w:t>
      </w:r>
      <w:r w:rsidR="009B60B2" w:rsidRPr="00CC5771">
        <w:rPr>
          <w:rFonts w:ascii="Times New Roman" w:hAnsi="Times New Roman" w:cs="Times New Roman"/>
          <w:lang w:val="en-CA"/>
        </w:rPr>
        <w:t xml:space="preserve"> </w:t>
      </w:r>
      <w:r w:rsidR="001D0484" w:rsidRPr="00CC5771">
        <w:rPr>
          <w:rFonts w:ascii="Times New Roman" w:hAnsi="Times New Roman" w:cs="Times New Roman"/>
          <w:lang w:val="en-CA"/>
        </w:rPr>
        <w:t xml:space="preserve">Interestingly, this </w:t>
      </w:r>
      <w:r w:rsidR="009B60B2" w:rsidRPr="00CC5771">
        <w:rPr>
          <w:rFonts w:ascii="Times New Roman" w:hAnsi="Times New Roman" w:cs="Times New Roman"/>
          <w:lang w:val="en-CA"/>
        </w:rPr>
        <w:t xml:space="preserve">graphic was </w:t>
      </w:r>
      <w:r w:rsidR="0072556A" w:rsidRPr="00CC5771">
        <w:rPr>
          <w:rFonts w:ascii="Times New Roman" w:hAnsi="Times New Roman" w:cs="Times New Roman"/>
          <w:lang w:val="en-CA"/>
        </w:rPr>
        <w:t>also included</w:t>
      </w:r>
      <w:r w:rsidR="009B60B2" w:rsidRPr="00CC5771">
        <w:rPr>
          <w:rFonts w:ascii="Times New Roman" w:hAnsi="Times New Roman" w:cs="Times New Roman"/>
          <w:lang w:val="en-CA"/>
        </w:rPr>
        <w:t xml:space="preserve"> in several other policies.</w:t>
      </w:r>
      <w:r w:rsidR="008F0C29" w:rsidRPr="00CC5771">
        <w:rPr>
          <w:rFonts w:ascii="Times New Roman" w:hAnsi="Times New Roman" w:cs="Times New Roman"/>
          <w:lang w:val="en-CA"/>
        </w:rPr>
        <w:t xml:space="preserve"> </w:t>
      </w:r>
      <w:r w:rsidR="007C4645" w:rsidRPr="00CC5771">
        <w:rPr>
          <w:rFonts w:ascii="Times New Roman" w:hAnsi="Times New Roman" w:cs="Times New Roman"/>
          <w:lang w:val="en-CA"/>
        </w:rPr>
        <w:t xml:space="preserve">In </w:t>
      </w:r>
      <w:r w:rsidR="005E0AA9" w:rsidRPr="00CC5771">
        <w:rPr>
          <w:rFonts w:ascii="Times New Roman" w:hAnsi="Times New Roman" w:cs="Times New Roman"/>
          <w:lang w:val="en-CA"/>
        </w:rPr>
        <w:t>another,</w:t>
      </w:r>
      <w:r w:rsidR="00FD7532" w:rsidRPr="00CC5771">
        <w:rPr>
          <w:rFonts w:ascii="Times New Roman" w:hAnsi="Times New Roman" w:cs="Times New Roman"/>
          <w:lang w:val="en-CA"/>
        </w:rPr>
        <w:t xml:space="preserve"> </w:t>
      </w:r>
      <w:r w:rsidR="007C4645" w:rsidRPr="00CC5771">
        <w:rPr>
          <w:rFonts w:ascii="Times New Roman" w:hAnsi="Times New Roman" w:cs="Times New Roman"/>
          <w:lang w:val="en-CA"/>
        </w:rPr>
        <w:t xml:space="preserve">the </w:t>
      </w:r>
      <w:r w:rsidR="00484EAF" w:rsidRPr="00CC5771">
        <w:rPr>
          <w:rFonts w:ascii="Times New Roman" w:hAnsi="Times New Roman" w:cs="Times New Roman"/>
          <w:lang w:val="en-CA"/>
        </w:rPr>
        <w:lastRenderedPageBreak/>
        <w:t>authors</w:t>
      </w:r>
      <w:r w:rsidR="007C4645" w:rsidRPr="00CC5771">
        <w:rPr>
          <w:rFonts w:ascii="Times New Roman" w:hAnsi="Times New Roman" w:cs="Times New Roman"/>
          <w:lang w:val="en-CA"/>
        </w:rPr>
        <w:t xml:space="preserve"> </w:t>
      </w:r>
      <w:r w:rsidR="00484EAF" w:rsidRPr="00CC5771">
        <w:rPr>
          <w:rFonts w:ascii="Times New Roman" w:hAnsi="Times New Roman" w:cs="Times New Roman"/>
          <w:lang w:val="en-CA"/>
        </w:rPr>
        <w:t>use</w:t>
      </w:r>
      <w:r w:rsidR="007C4645" w:rsidRPr="00CC5771">
        <w:rPr>
          <w:rFonts w:ascii="Times New Roman" w:hAnsi="Times New Roman" w:cs="Times New Roman"/>
          <w:lang w:val="en-CA"/>
        </w:rPr>
        <w:t xml:space="preserve"> the </w:t>
      </w:r>
      <w:r w:rsidR="008D481F" w:rsidRPr="00CC5771">
        <w:rPr>
          <w:rFonts w:ascii="Times New Roman" w:hAnsi="Times New Roman" w:cs="Times New Roman"/>
          <w:lang w:val="en-CA"/>
        </w:rPr>
        <w:t xml:space="preserve">common pedagogical illustration </w:t>
      </w:r>
      <w:r w:rsidR="007C4645" w:rsidRPr="00CC5771">
        <w:rPr>
          <w:rFonts w:ascii="Times New Roman" w:hAnsi="Times New Roman" w:cs="Times New Roman"/>
          <w:lang w:val="en-CA"/>
        </w:rPr>
        <w:t xml:space="preserve">of </w:t>
      </w:r>
      <w:r w:rsidR="00A53E6C" w:rsidRPr="00CC5771">
        <w:rPr>
          <w:rFonts w:ascii="Times New Roman" w:hAnsi="Times New Roman" w:cs="Times New Roman"/>
          <w:lang w:val="en-CA"/>
        </w:rPr>
        <w:t xml:space="preserve">the “Genderbread </w:t>
      </w:r>
      <w:r w:rsidR="007C4645" w:rsidRPr="00CC5771">
        <w:rPr>
          <w:rFonts w:ascii="Times New Roman" w:hAnsi="Times New Roman" w:cs="Times New Roman"/>
          <w:lang w:val="en-CA"/>
        </w:rPr>
        <w:t>Person”</w:t>
      </w:r>
      <w:r w:rsidR="00D2376A" w:rsidRPr="00CC5771">
        <w:rPr>
          <w:rStyle w:val="FootnoteReference"/>
          <w:rFonts w:ascii="Times New Roman" w:hAnsi="Times New Roman" w:cs="Times New Roman"/>
          <w:lang w:val="en-CA"/>
        </w:rPr>
        <w:footnoteReference w:id="80"/>
      </w:r>
      <w:r w:rsidR="007C4645" w:rsidRPr="00CC5771">
        <w:rPr>
          <w:rFonts w:ascii="Times New Roman" w:hAnsi="Times New Roman" w:cs="Times New Roman"/>
          <w:lang w:val="en-CA"/>
        </w:rPr>
        <w:t xml:space="preserve"> </w:t>
      </w:r>
      <w:r w:rsidR="00CF2154" w:rsidRPr="00CC5771">
        <w:rPr>
          <w:rFonts w:ascii="Times New Roman" w:hAnsi="Times New Roman" w:cs="Times New Roman"/>
          <w:lang w:val="en-CA"/>
        </w:rPr>
        <w:t>in an effort to</w:t>
      </w:r>
      <w:r w:rsidR="007C4645" w:rsidRPr="00CC5771">
        <w:rPr>
          <w:rFonts w:ascii="Times New Roman" w:hAnsi="Times New Roman" w:cs="Times New Roman"/>
          <w:lang w:val="en-CA"/>
        </w:rPr>
        <w:t xml:space="preserve"> distinguish between the concepts of “identity” (located in the brain), “expression” (located on the body), “attraction” (located on the heart), and “sex” (located on the genitals)</w:t>
      </w:r>
      <w:r w:rsidR="005E0AA9" w:rsidRPr="00CC5771">
        <w:rPr>
          <w:rFonts w:ascii="Times New Roman" w:hAnsi="Times New Roman" w:cs="Times New Roman"/>
          <w:lang w:val="en-CA"/>
        </w:rPr>
        <w:t xml:space="preserve"> (</w:t>
      </w:r>
      <w:r w:rsidR="0081315A" w:rsidRPr="00CC5771">
        <w:rPr>
          <w:rFonts w:ascii="Times New Roman" w:hAnsi="Times New Roman" w:cs="Times New Roman"/>
          <w:lang w:val="en-CA"/>
        </w:rPr>
        <w:t xml:space="preserve">Appendix 2, </w:t>
      </w:r>
      <w:r w:rsidR="005E0AA9" w:rsidRPr="00CC5771">
        <w:rPr>
          <w:rFonts w:ascii="Times New Roman" w:hAnsi="Times New Roman" w:cs="Times New Roman"/>
          <w:lang w:val="en-CA"/>
        </w:rPr>
        <w:t xml:space="preserve">Figure </w:t>
      </w:r>
      <w:r w:rsidR="00D84D65">
        <w:rPr>
          <w:rFonts w:ascii="Times New Roman" w:hAnsi="Times New Roman" w:cs="Times New Roman"/>
          <w:lang w:val="en-CA"/>
        </w:rPr>
        <w:t>3</w:t>
      </w:r>
      <w:r w:rsidR="005E0AA9" w:rsidRPr="00CC5771">
        <w:rPr>
          <w:rFonts w:ascii="Times New Roman" w:hAnsi="Times New Roman" w:cs="Times New Roman"/>
          <w:lang w:val="en-CA"/>
        </w:rPr>
        <w:t>)</w:t>
      </w:r>
      <w:r w:rsidR="007C4645" w:rsidRPr="00CC5771">
        <w:rPr>
          <w:rFonts w:ascii="Times New Roman" w:hAnsi="Times New Roman" w:cs="Times New Roman"/>
          <w:lang w:val="en-CA"/>
        </w:rPr>
        <w:t xml:space="preserve">. </w:t>
      </w:r>
      <w:r w:rsidR="00CF2154" w:rsidRPr="00CC5771">
        <w:rPr>
          <w:rFonts w:ascii="Times New Roman" w:hAnsi="Times New Roman" w:cs="Times New Roman"/>
          <w:lang w:val="en-CA"/>
        </w:rPr>
        <w:t xml:space="preserve">Framed in </w:t>
      </w:r>
      <w:r w:rsidR="00FD7532" w:rsidRPr="00CC5771">
        <w:rPr>
          <w:rFonts w:ascii="Times New Roman" w:hAnsi="Times New Roman" w:cs="Times New Roman"/>
          <w:lang w:val="en-CA"/>
        </w:rPr>
        <w:t>formal legal</w:t>
      </w:r>
      <w:r w:rsidR="00CF2154" w:rsidRPr="00CC5771">
        <w:rPr>
          <w:rFonts w:ascii="Times New Roman" w:hAnsi="Times New Roman" w:cs="Times New Roman"/>
          <w:lang w:val="en-CA"/>
        </w:rPr>
        <w:t xml:space="preserve"> terms</w:t>
      </w:r>
      <w:r w:rsidR="007C4645" w:rsidRPr="00CC5771">
        <w:rPr>
          <w:rFonts w:ascii="Times New Roman" w:hAnsi="Times New Roman" w:cs="Times New Roman"/>
          <w:lang w:val="en-CA"/>
        </w:rPr>
        <w:t>, the document uses the graphic to distinguish between</w:t>
      </w:r>
      <w:r w:rsidR="00CF2154" w:rsidRPr="00CC5771">
        <w:rPr>
          <w:rFonts w:ascii="Times New Roman" w:hAnsi="Times New Roman" w:cs="Times New Roman"/>
          <w:lang w:val="en-CA"/>
        </w:rPr>
        <w:t xml:space="preserve"> the protected human rights grounds of</w:t>
      </w:r>
      <w:r w:rsidR="007C4645" w:rsidRPr="00CC5771">
        <w:rPr>
          <w:rFonts w:ascii="Times New Roman" w:hAnsi="Times New Roman" w:cs="Times New Roman"/>
          <w:lang w:val="en-CA"/>
        </w:rPr>
        <w:t xml:space="preserve"> “gender identity”</w:t>
      </w:r>
      <w:r w:rsidR="00484EAF" w:rsidRPr="00CC5771">
        <w:rPr>
          <w:rFonts w:ascii="Times New Roman" w:hAnsi="Times New Roman" w:cs="Times New Roman"/>
          <w:lang w:val="en-CA"/>
        </w:rPr>
        <w:t xml:space="preserve"> (identity)</w:t>
      </w:r>
      <w:r w:rsidR="007C4645" w:rsidRPr="00CC5771">
        <w:rPr>
          <w:rFonts w:ascii="Times New Roman" w:hAnsi="Times New Roman" w:cs="Times New Roman"/>
          <w:lang w:val="en-CA"/>
        </w:rPr>
        <w:t>, “gender expression”</w:t>
      </w:r>
      <w:r w:rsidR="00484EAF" w:rsidRPr="00CC5771">
        <w:rPr>
          <w:rFonts w:ascii="Times New Roman" w:hAnsi="Times New Roman" w:cs="Times New Roman"/>
          <w:lang w:val="en-CA"/>
        </w:rPr>
        <w:t xml:space="preserve"> (expression)</w:t>
      </w:r>
      <w:r w:rsidR="007C4645" w:rsidRPr="00CC5771">
        <w:rPr>
          <w:rFonts w:ascii="Times New Roman" w:hAnsi="Times New Roman" w:cs="Times New Roman"/>
          <w:lang w:val="en-CA"/>
        </w:rPr>
        <w:t>, “sexual orientation”</w:t>
      </w:r>
      <w:r w:rsidR="00484EAF" w:rsidRPr="00CC5771">
        <w:rPr>
          <w:rFonts w:ascii="Times New Roman" w:hAnsi="Times New Roman" w:cs="Times New Roman"/>
          <w:lang w:val="en-CA"/>
        </w:rPr>
        <w:t xml:space="preserve"> (attraction)</w:t>
      </w:r>
      <w:r w:rsidR="007C4645" w:rsidRPr="00CC5771">
        <w:rPr>
          <w:rFonts w:ascii="Times New Roman" w:hAnsi="Times New Roman" w:cs="Times New Roman"/>
          <w:lang w:val="en-CA"/>
        </w:rPr>
        <w:t>, and “sex”</w:t>
      </w:r>
      <w:r w:rsidR="00484EAF" w:rsidRPr="00CC5771">
        <w:rPr>
          <w:rFonts w:ascii="Times New Roman" w:hAnsi="Times New Roman" w:cs="Times New Roman"/>
          <w:lang w:val="en-CA"/>
        </w:rPr>
        <w:t xml:space="preserve"> (sex)</w:t>
      </w:r>
      <w:r w:rsidR="007C4645" w:rsidRPr="00CC5771">
        <w:rPr>
          <w:rFonts w:ascii="Times New Roman" w:hAnsi="Times New Roman" w:cs="Times New Roman"/>
          <w:lang w:val="en-CA"/>
        </w:rPr>
        <w:t>. Mitigating the risk of human rights liability seems to be</w:t>
      </w:r>
      <w:r w:rsidR="00CA7D2E" w:rsidRPr="00CC5771">
        <w:rPr>
          <w:rFonts w:ascii="Times New Roman" w:hAnsi="Times New Roman" w:cs="Times New Roman"/>
          <w:lang w:val="en-CA"/>
        </w:rPr>
        <w:t>, at best,</w:t>
      </w:r>
      <w:r w:rsidR="007C4645" w:rsidRPr="00CC5771">
        <w:rPr>
          <w:rFonts w:ascii="Times New Roman" w:hAnsi="Times New Roman" w:cs="Times New Roman"/>
          <w:lang w:val="en-CA"/>
        </w:rPr>
        <w:t xml:space="preserve"> a secondary purpose, with public education being the primary goal of </w:t>
      </w:r>
      <w:r w:rsidR="00CF2154" w:rsidRPr="00CC5771">
        <w:rPr>
          <w:rFonts w:ascii="Times New Roman" w:hAnsi="Times New Roman" w:cs="Times New Roman"/>
          <w:lang w:val="en-CA"/>
        </w:rPr>
        <w:t>this brightly coloured</w:t>
      </w:r>
      <w:r w:rsidR="00D2376A" w:rsidRPr="00CC5771">
        <w:rPr>
          <w:rFonts w:ascii="Times New Roman" w:hAnsi="Times New Roman" w:cs="Times New Roman"/>
          <w:lang w:val="en-CA"/>
        </w:rPr>
        <w:t xml:space="preserve">, </w:t>
      </w:r>
      <w:r w:rsidR="00CF2154" w:rsidRPr="00CC5771">
        <w:rPr>
          <w:rFonts w:ascii="Times New Roman" w:hAnsi="Times New Roman" w:cs="Times New Roman"/>
          <w:lang w:val="en-CA"/>
        </w:rPr>
        <w:t>accessible</w:t>
      </w:r>
      <w:r w:rsidR="00CA7D2E" w:rsidRPr="00CC5771">
        <w:rPr>
          <w:rFonts w:ascii="Times New Roman" w:hAnsi="Times New Roman" w:cs="Times New Roman"/>
          <w:lang w:val="en-CA"/>
        </w:rPr>
        <w:t xml:space="preserve"> </w:t>
      </w:r>
      <w:r w:rsidR="007C4645" w:rsidRPr="00CC5771">
        <w:rPr>
          <w:rFonts w:ascii="Times New Roman" w:hAnsi="Times New Roman" w:cs="Times New Roman"/>
          <w:lang w:val="en-CA"/>
        </w:rPr>
        <w:t>document.</w:t>
      </w:r>
    </w:p>
    <w:p w14:paraId="6930F46E" w14:textId="21309790" w:rsidR="00AA2D11" w:rsidRPr="00CC5771" w:rsidRDefault="00CF2154"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 xml:space="preserve">A careful reading </w:t>
      </w:r>
      <w:r w:rsidR="007C4645" w:rsidRPr="00CC5771">
        <w:rPr>
          <w:rFonts w:ascii="Times New Roman" w:hAnsi="Times New Roman" w:cs="Times New Roman"/>
          <w:lang w:val="en-CA"/>
        </w:rPr>
        <w:t>of every</w:t>
      </w:r>
      <w:r w:rsidR="00CA7D2E" w:rsidRPr="00CC5771">
        <w:rPr>
          <w:rFonts w:ascii="Times New Roman" w:hAnsi="Times New Roman" w:cs="Times New Roman"/>
          <w:lang w:val="en-CA"/>
        </w:rPr>
        <w:t xml:space="preserve"> post-</w:t>
      </w:r>
      <w:r w:rsidR="00CA7D2E" w:rsidRPr="00CC5771">
        <w:rPr>
          <w:rFonts w:ascii="Times New Roman" w:hAnsi="Times New Roman" w:cs="Times New Roman"/>
          <w:i/>
          <w:lang w:val="en-CA"/>
        </w:rPr>
        <w:t>Toby</w:t>
      </w:r>
      <w:r w:rsidR="00912EC7">
        <w:rPr>
          <w:rFonts w:ascii="Times New Roman" w:hAnsi="Times New Roman" w:cs="Times New Roman"/>
          <w:i/>
          <w:lang w:val="en-CA"/>
        </w:rPr>
        <w:t>’</w:t>
      </w:r>
      <w:r w:rsidR="00CA7D2E" w:rsidRPr="00CC5771">
        <w:rPr>
          <w:rFonts w:ascii="Times New Roman" w:hAnsi="Times New Roman" w:cs="Times New Roman"/>
          <w:i/>
          <w:lang w:val="en-CA"/>
        </w:rPr>
        <w:t>s Act</w:t>
      </w:r>
      <w:r w:rsidR="00CA7D2E" w:rsidRPr="00CC5771">
        <w:rPr>
          <w:rFonts w:ascii="Times New Roman" w:hAnsi="Times New Roman" w:cs="Times New Roman"/>
          <w:lang w:val="en-CA"/>
        </w:rPr>
        <w:t xml:space="preserve"> policy document </w:t>
      </w:r>
      <w:r w:rsidR="00FD7532" w:rsidRPr="00CC5771">
        <w:rPr>
          <w:rFonts w:ascii="Times New Roman" w:hAnsi="Times New Roman" w:cs="Times New Roman"/>
          <w:lang w:val="en-CA"/>
        </w:rPr>
        <w:t xml:space="preserve">containing an explicit definition of “gender identity” and/or “gender expression” </w:t>
      </w:r>
      <w:r w:rsidR="00CA7D2E" w:rsidRPr="00CC5771">
        <w:rPr>
          <w:rFonts w:ascii="Times New Roman" w:hAnsi="Times New Roman" w:cs="Times New Roman"/>
          <w:lang w:val="en-CA"/>
        </w:rPr>
        <w:t xml:space="preserve">also suggests that </w:t>
      </w:r>
      <w:r w:rsidR="00FD7532" w:rsidRPr="00CC5771">
        <w:rPr>
          <w:rFonts w:ascii="Times New Roman" w:hAnsi="Times New Roman" w:cs="Times New Roman"/>
          <w:lang w:val="en-CA"/>
        </w:rPr>
        <w:t>drafters</w:t>
      </w:r>
      <w:r w:rsidR="00CA7D2E" w:rsidRPr="00CC5771">
        <w:rPr>
          <w:rFonts w:ascii="Times New Roman" w:hAnsi="Times New Roman" w:cs="Times New Roman"/>
          <w:lang w:val="en-CA"/>
        </w:rPr>
        <w:t xml:space="preserve"> were</w:t>
      </w:r>
      <w:r w:rsidRPr="00CC5771">
        <w:rPr>
          <w:rFonts w:ascii="Times New Roman" w:hAnsi="Times New Roman" w:cs="Times New Roman"/>
          <w:lang w:val="en-CA"/>
        </w:rPr>
        <w:t xml:space="preserve"> clearly</w:t>
      </w:r>
      <w:r w:rsidR="00CA7D2E" w:rsidRPr="00CC5771">
        <w:rPr>
          <w:rFonts w:ascii="Times New Roman" w:hAnsi="Times New Roman" w:cs="Times New Roman"/>
          <w:lang w:val="en-CA"/>
        </w:rPr>
        <w:t xml:space="preserve"> aware of their duty to comply with </w:t>
      </w:r>
      <w:r w:rsidR="00F43E78" w:rsidRPr="00CC5771">
        <w:rPr>
          <w:rFonts w:ascii="Times New Roman" w:hAnsi="Times New Roman" w:cs="Times New Roman"/>
          <w:lang w:val="en-CA"/>
        </w:rPr>
        <w:t xml:space="preserve">the Ontario </w:t>
      </w:r>
      <w:r w:rsidR="00F43E78" w:rsidRPr="00CC5771">
        <w:rPr>
          <w:rFonts w:ascii="Times New Roman" w:hAnsi="Times New Roman" w:cs="Times New Roman"/>
          <w:i/>
          <w:lang w:val="en-CA"/>
        </w:rPr>
        <w:t>Human Rights Code</w:t>
      </w:r>
      <w:r w:rsidR="00F43E78" w:rsidRPr="00CC5771">
        <w:rPr>
          <w:rFonts w:ascii="Times New Roman" w:hAnsi="Times New Roman" w:cs="Times New Roman"/>
          <w:lang w:val="en-CA"/>
        </w:rPr>
        <w:t xml:space="preserve"> but </w:t>
      </w:r>
      <w:r w:rsidRPr="00CC5771">
        <w:rPr>
          <w:rFonts w:ascii="Times New Roman" w:hAnsi="Times New Roman" w:cs="Times New Roman"/>
          <w:lang w:val="en-CA"/>
        </w:rPr>
        <w:t>often constructed definitions</w:t>
      </w:r>
      <w:r w:rsidR="00F43E78" w:rsidRPr="00CC5771">
        <w:rPr>
          <w:rFonts w:ascii="Times New Roman" w:hAnsi="Times New Roman" w:cs="Times New Roman"/>
          <w:lang w:val="en-CA"/>
        </w:rPr>
        <w:t xml:space="preserve"> in ways that did not readily map onto </w:t>
      </w:r>
      <w:r w:rsidRPr="00CC5771">
        <w:rPr>
          <w:rFonts w:ascii="Times New Roman" w:hAnsi="Times New Roman" w:cs="Times New Roman"/>
          <w:lang w:val="en-CA"/>
        </w:rPr>
        <w:t>those</w:t>
      </w:r>
      <w:r w:rsidR="00F43E78" w:rsidRPr="00CC5771">
        <w:rPr>
          <w:rFonts w:ascii="Times New Roman" w:hAnsi="Times New Roman" w:cs="Times New Roman"/>
          <w:lang w:val="en-CA"/>
        </w:rPr>
        <w:t xml:space="preserve"> </w:t>
      </w:r>
      <w:r w:rsidRPr="00CC5771">
        <w:rPr>
          <w:rFonts w:ascii="Times New Roman" w:hAnsi="Times New Roman" w:cs="Times New Roman"/>
          <w:lang w:val="en-CA"/>
        </w:rPr>
        <w:t>set out in</w:t>
      </w:r>
      <w:r w:rsidR="00F43E78" w:rsidRPr="00CC5771">
        <w:rPr>
          <w:rFonts w:ascii="Times New Roman" w:hAnsi="Times New Roman" w:cs="Times New Roman"/>
          <w:lang w:val="en-CA"/>
        </w:rPr>
        <w:t xml:space="preserve"> the OHRC</w:t>
      </w:r>
      <w:r w:rsidR="00912EC7">
        <w:rPr>
          <w:rFonts w:ascii="Times New Roman" w:hAnsi="Times New Roman" w:cs="Times New Roman"/>
          <w:lang w:val="en-CA"/>
        </w:rPr>
        <w:t>’</w:t>
      </w:r>
      <w:r w:rsidR="00F43E78" w:rsidRPr="00CC5771">
        <w:rPr>
          <w:rFonts w:ascii="Times New Roman" w:hAnsi="Times New Roman" w:cs="Times New Roman"/>
          <w:lang w:val="en-CA"/>
        </w:rPr>
        <w:t xml:space="preserve">s 2012 policy. </w:t>
      </w:r>
      <w:r w:rsidR="00FD7532" w:rsidRPr="00CC5771">
        <w:rPr>
          <w:rFonts w:ascii="Times New Roman" w:hAnsi="Times New Roman" w:cs="Times New Roman"/>
          <w:lang w:val="en-CA"/>
        </w:rPr>
        <w:t xml:space="preserve">Across the </w:t>
      </w:r>
      <w:r w:rsidR="008A342B" w:rsidRPr="00CC5771">
        <w:rPr>
          <w:rFonts w:ascii="Times New Roman" w:hAnsi="Times New Roman" w:cs="Times New Roman"/>
          <w:lang w:val="en-CA"/>
        </w:rPr>
        <w:t>documents</w:t>
      </w:r>
      <w:r w:rsidR="00FD7532" w:rsidRPr="00CC5771">
        <w:rPr>
          <w:rFonts w:ascii="Times New Roman" w:hAnsi="Times New Roman" w:cs="Times New Roman"/>
          <w:lang w:val="en-CA"/>
        </w:rPr>
        <w:t xml:space="preserve"> included in this study, there</w:t>
      </w:r>
      <w:r w:rsidR="00F43E78" w:rsidRPr="00CC5771">
        <w:rPr>
          <w:rFonts w:ascii="Times New Roman" w:hAnsi="Times New Roman" w:cs="Times New Roman"/>
          <w:lang w:val="en-CA"/>
        </w:rPr>
        <w:t xml:space="preserve"> were </w:t>
      </w:r>
      <w:r w:rsidR="00DB4E60">
        <w:rPr>
          <w:rFonts w:ascii="Times New Roman" w:hAnsi="Times New Roman" w:cs="Times New Roman"/>
          <w:lang w:val="en-CA"/>
        </w:rPr>
        <w:t>twenty-four</w:t>
      </w:r>
      <w:r w:rsidR="00DB4E60" w:rsidRPr="00CC5771">
        <w:rPr>
          <w:rFonts w:ascii="Times New Roman" w:hAnsi="Times New Roman" w:cs="Times New Roman"/>
          <w:lang w:val="en-CA"/>
        </w:rPr>
        <w:t xml:space="preserve"> </w:t>
      </w:r>
      <w:r w:rsidR="00F43E78" w:rsidRPr="00CC5771">
        <w:rPr>
          <w:rFonts w:ascii="Times New Roman" w:hAnsi="Times New Roman" w:cs="Times New Roman"/>
          <w:lang w:val="en-CA"/>
        </w:rPr>
        <w:t xml:space="preserve">instances </w:t>
      </w:r>
      <w:r w:rsidR="00CA0D4F" w:rsidRPr="00CC5771">
        <w:rPr>
          <w:rFonts w:ascii="Times New Roman" w:hAnsi="Times New Roman" w:cs="Times New Roman"/>
          <w:lang w:val="en-CA"/>
        </w:rPr>
        <w:t xml:space="preserve">of </w:t>
      </w:r>
      <w:r w:rsidR="00F43E78" w:rsidRPr="00CC5771">
        <w:rPr>
          <w:rFonts w:ascii="Times New Roman" w:hAnsi="Times New Roman" w:cs="Times New Roman"/>
          <w:lang w:val="en-CA"/>
        </w:rPr>
        <w:t>policy documents includ</w:t>
      </w:r>
      <w:r w:rsidR="00CA0D4F" w:rsidRPr="00CC5771">
        <w:rPr>
          <w:rFonts w:ascii="Times New Roman" w:hAnsi="Times New Roman" w:cs="Times New Roman"/>
          <w:lang w:val="en-CA"/>
        </w:rPr>
        <w:t>ing</w:t>
      </w:r>
      <w:r w:rsidR="003C58DF" w:rsidRPr="00CC5771">
        <w:rPr>
          <w:rFonts w:ascii="Times New Roman" w:hAnsi="Times New Roman" w:cs="Times New Roman"/>
          <w:lang w:val="en-CA"/>
        </w:rPr>
        <w:t xml:space="preserve"> explicit definitions of “gender identity” </w:t>
      </w:r>
      <w:r w:rsidR="00CA0D4F" w:rsidRPr="00CC5771">
        <w:rPr>
          <w:rFonts w:ascii="Times New Roman" w:hAnsi="Times New Roman" w:cs="Times New Roman"/>
          <w:lang w:val="en-CA"/>
        </w:rPr>
        <w:t xml:space="preserve">and </w:t>
      </w:r>
      <w:r w:rsidR="00DB4E60">
        <w:rPr>
          <w:rFonts w:ascii="Times New Roman" w:hAnsi="Times New Roman" w:cs="Times New Roman"/>
          <w:lang w:val="en-CA"/>
        </w:rPr>
        <w:t>seventeen</w:t>
      </w:r>
      <w:r w:rsidR="00DB4E60" w:rsidRPr="00CC5771">
        <w:rPr>
          <w:rFonts w:ascii="Times New Roman" w:hAnsi="Times New Roman" w:cs="Times New Roman"/>
          <w:lang w:val="en-CA"/>
        </w:rPr>
        <w:t xml:space="preserve"> </w:t>
      </w:r>
      <w:r w:rsidR="00CA0D4F" w:rsidRPr="00CC5771">
        <w:rPr>
          <w:rFonts w:ascii="Times New Roman" w:hAnsi="Times New Roman" w:cs="Times New Roman"/>
          <w:lang w:val="en-CA"/>
        </w:rPr>
        <w:t xml:space="preserve">of </w:t>
      </w:r>
      <w:r w:rsidR="003C58DF" w:rsidRPr="00CC5771">
        <w:rPr>
          <w:rFonts w:ascii="Times New Roman" w:hAnsi="Times New Roman" w:cs="Times New Roman"/>
          <w:lang w:val="en-CA"/>
        </w:rPr>
        <w:t xml:space="preserve">“gender expression.” </w:t>
      </w:r>
      <w:r w:rsidR="00755A37" w:rsidRPr="00CC5771">
        <w:rPr>
          <w:rFonts w:ascii="Times New Roman" w:hAnsi="Times New Roman" w:cs="Times New Roman"/>
          <w:lang w:val="en-CA"/>
        </w:rPr>
        <w:t xml:space="preserve">Of the </w:t>
      </w:r>
      <w:r w:rsidR="00DB4E60">
        <w:rPr>
          <w:rFonts w:ascii="Times New Roman" w:hAnsi="Times New Roman" w:cs="Times New Roman"/>
          <w:lang w:val="en-CA"/>
        </w:rPr>
        <w:t>seventeen</w:t>
      </w:r>
      <w:r w:rsidR="00DB4E60" w:rsidRPr="00CC5771">
        <w:rPr>
          <w:rFonts w:ascii="Times New Roman" w:hAnsi="Times New Roman" w:cs="Times New Roman"/>
          <w:lang w:val="en-CA"/>
        </w:rPr>
        <w:t xml:space="preserve"> </w:t>
      </w:r>
      <w:r w:rsidR="001E7E14" w:rsidRPr="00CC5771">
        <w:rPr>
          <w:rFonts w:ascii="Times New Roman" w:hAnsi="Times New Roman" w:cs="Times New Roman"/>
          <w:lang w:val="en-CA"/>
        </w:rPr>
        <w:t>policies</w:t>
      </w:r>
      <w:r w:rsidR="00755A37" w:rsidRPr="00CC5771">
        <w:rPr>
          <w:rFonts w:ascii="Times New Roman" w:hAnsi="Times New Roman" w:cs="Times New Roman"/>
          <w:lang w:val="en-CA"/>
        </w:rPr>
        <w:t xml:space="preserve"> containing explicit definitions of “gender expression</w:t>
      </w:r>
      <w:r w:rsidR="009C3F79">
        <w:rPr>
          <w:rFonts w:ascii="Times New Roman" w:hAnsi="Times New Roman" w:cs="Times New Roman"/>
          <w:lang w:val="en-CA"/>
        </w:rPr>
        <w:t>,”</w:t>
      </w:r>
      <w:r w:rsidR="00755A37" w:rsidRPr="00CC5771">
        <w:rPr>
          <w:rFonts w:ascii="Times New Roman" w:hAnsi="Times New Roman" w:cs="Times New Roman"/>
          <w:lang w:val="en-CA"/>
        </w:rPr>
        <w:t xml:space="preserve"> only </w:t>
      </w:r>
      <w:r w:rsidR="00CA0D4F" w:rsidRPr="00CC5771">
        <w:rPr>
          <w:rFonts w:ascii="Times New Roman" w:hAnsi="Times New Roman" w:cs="Times New Roman"/>
          <w:lang w:val="en-CA"/>
        </w:rPr>
        <w:t>two</w:t>
      </w:r>
      <w:r w:rsidR="00755A37" w:rsidRPr="00CC5771">
        <w:rPr>
          <w:rFonts w:ascii="Times New Roman" w:hAnsi="Times New Roman" w:cs="Times New Roman"/>
          <w:lang w:val="en-CA"/>
        </w:rPr>
        <w:t>—</w:t>
      </w:r>
      <w:r w:rsidR="006755FC" w:rsidRPr="00CC5771">
        <w:rPr>
          <w:rFonts w:ascii="Times New Roman" w:hAnsi="Times New Roman" w:cs="Times New Roman"/>
          <w:lang w:val="en-CA"/>
        </w:rPr>
        <w:t xml:space="preserve">the </w:t>
      </w:r>
      <w:r w:rsidR="006755FC" w:rsidRPr="00CC5771">
        <w:rPr>
          <w:rFonts w:ascii="Times New Roman" w:eastAsia="Times New Roman" w:hAnsi="Times New Roman" w:cs="Times New Roman"/>
          <w:bdr w:val="none" w:sz="0" w:space="0" w:color="auto" w:frame="1"/>
          <w:lang w:val="en-CA"/>
        </w:rPr>
        <w:t>Renfrew County District School Board</w:t>
      </w:r>
      <w:r w:rsidR="00912EC7">
        <w:rPr>
          <w:rFonts w:ascii="Times New Roman" w:hAnsi="Times New Roman" w:cs="Times New Roman"/>
          <w:lang w:val="en-CA"/>
        </w:rPr>
        <w:t>’</w:t>
      </w:r>
      <w:r w:rsidR="00755A37" w:rsidRPr="00CC5771">
        <w:rPr>
          <w:rFonts w:ascii="Times New Roman" w:hAnsi="Times New Roman" w:cs="Times New Roman"/>
          <w:lang w:val="en-CA"/>
        </w:rPr>
        <w:t xml:space="preserve">s 2015 </w:t>
      </w:r>
      <w:r w:rsidR="00755A37" w:rsidRPr="00CC5771">
        <w:rPr>
          <w:rFonts w:ascii="Times New Roman" w:hAnsi="Times New Roman" w:cs="Times New Roman"/>
          <w:i/>
          <w:lang w:val="en-CA"/>
        </w:rPr>
        <w:t xml:space="preserve">Transgender Students </w:t>
      </w:r>
      <w:r w:rsidRPr="00CC5771">
        <w:rPr>
          <w:rFonts w:ascii="Times New Roman" w:hAnsi="Times New Roman" w:cs="Times New Roman"/>
          <w:lang w:val="en-CA"/>
        </w:rPr>
        <w:t>policy</w:t>
      </w:r>
      <w:r w:rsidR="006755FC" w:rsidRPr="00CC5771">
        <w:rPr>
          <w:rFonts w:ascii="Times New Roman" w:hAnsi="Times New Roman" w:cs="Times New Roman"/>
          <w:lang w:val="en-CA"/>
        </w:rPr>
        <w:t xml:space="preserve"> and the Rainy River District School Board</w:t>
      </w:r>
      <w:r w:rsidR="00912EC7">
        <w:rPr>
          <w:rFonts w:ascii="Times New Roman" w:hAnsi="Times New Roman" w:cs="Times New Roman"/>
          <w:lang w:val="en-CA"/>
        </w:rPr>
        <w:t>’</w:t>
      </w:r>
      <w:r w:rsidR="006755FC" w:rsidRPr="00CC5771">
        <w:rPr>
          <w:rFonts w:ascii="Times New Roman" w:hAnsi="Times New Roman" w:cs="Times New Roman"/>
          <w:lang w:val="en-CA"/>
        </w:rPr>
        <w:t xml:space="preserve">s 2018 </w:t>
      </w:r>
      <w:r w:rsidR="006755FC" w:rsidRPr="00CC5771">
        <w:rPr>
          <w:rFonts w:ascii="Times New Roman" w:hAnsi="Times New Roman" w:cs="Times New Roman"/>
          <w:i/>
          <w:lang w:val="en-CA"/>
        </w:rPr>
        <w:t>Safe Schools</w:t>
      </w:r>
      <w:r w:rsidR="000641DD">
        <w:rPr>
          <w:rFonts w:ascii="Times New Roman" w:hAnsi="Times New Roman" w:cs="Times New Roman"/>
          <w:lang w:val="en-CA"/>
        </w:rPr>
        <w:t>—</w:t>
      </w:r>
      <w:r w:rsidR="00DC0EDC" w:rsidRPr="00CC5771">
        <w:rPr>
          <w:rFonts w:ascii="Times New Roman" w:hAnsi="Times New Roman" w:cs="Times New Roman"/>
          <w:lang w:val="en-CA"/>
        </w:rPr>
        <w:t>di</w:t>
      </w:r>
      <w:r w:rsidR="000A0A09" w:rsidRPr="00CC5771">
        <w:rPr>
          <w:rFonts w:ascii="Times New Roman" w:hAnsi="Times New Roman" w:cs="Times New Roman"/>
          <w:lang w:val="en-CA"/>
        </w:rPr>
        <w:t>rectly copied the definition</w:t>
      </w:r>
      <w:r w:rsidR="00DC0EDC" w:rsidRPr="00CC5771">
        <w:rPr>
          <w:rFonts w:ascii="Times New Roman" w:hAnsi="Times New Roman" w:cs="Times New Roman"/>
          <w:lang w:val="en-CA"/>
        </w:rPr>
        <w:t xml:space="preserve"> from the OHRC</w:t>
      </w:r>
      <w:r w:rsidR="00912EC7">
        <w:rPr>
          <w:rFonts w:ascii="Times New Roman" w:hAnsi="Times New Roman" w:cs="Times New Roman"/>
          <w:lang w:val="en-CA"/>
        </w:rPr>
        <w:t>’</w:t>
      </w:r>
      <w:r w:rsidR="00DC0EDC" w:rsidRPr="00CC5771">
        <w:rPr>
          <w:rFonts w:ascii="Times New Roman" w:hAnsi="Times New Roman" w:cs="Times New Roman"/>
          <w:lang w:val="en-CA"/>
        </w:rPr>
        <w:t>s 2012 policy.</w:t>
      </w:r>
      <w:r w:rsidR="003C58DF" w:rsidRPr="00CC5771">
        <w:rPr>
          <w:rFonts w:ascii="Times New Roman" w:hAnsi="Times New Roman" w:cs="Times New Roman"/>
          <w:lang w:val="en-CA"/>
        </w:rPr>
        <w:t xml:space="preserve"> </w:t>
      </w:r>
    </w:p>
    <w:p w14:paraId="5B336065" w14:textId="26AD5B54" w:rsidR="00183C36" w:rsidRPr="00CC5771" w:rsidRDefault="00183C36"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 xml:space="preserve">In most of the </w:t>
      </w:r>
      <w:r w:rsidR="00DB4E60">
        <w:rPr>
          <w:rFonts w:ascii="Times New Roman" w:hAnsi="Times New Roman" w:cs="Times New Roman"/>
          <w:lang w:val="en-CA"/>
        </w:rPr>
        <w:t>seventeen</w:t>
      </w:r>
      <w:r w:rsidR="00DB4E60" w:rsidRPr="00CC5771">
        <w:rPr>
          <w:rFonts w:ascii="Times New Roman" w:hAnsi="Times New Roman" w:cs="Times New Roman"/>
          <w:lang w:val="en-CA"/>
        </w:rPr>
        <w:t xml:space="preserve"> </w:t>
      </w:r>
      <w:r w:rsidRPr="00CC5771">
        <w:rPr>
          <w:rFonts w:ascii="Times New Roman" w:hAnsi="Times New Roman" w:cs="Times New Roman"/>
          <w:lang w:val="en-CA"/>
        </w:rPr>
        <w:t>definitions of “gender expression</w:t>
      </w:r>
      <w:r w:rsidR="009C3F79">
        <w:rPr>
          <w:rFonts w:ascii="Times New Roman" w:hAnsi="Times New Roman" w:cs="Times New Roman"/>
          <w:lang w:val="en-CA"/>
        </w:rPr>
        <w:t>,”</w:t>
      </w:r>
      <w:r w:rsidRPr="00CC5771">
        <w:rPr>
          <w:rFonts w:ascii="Times New Roman" w:hAnsi="Times New Roman" w:cs="Times New Roman"/>
          <w:lang w:val="en-CA"/>
        </w:rPr>
        <w:t xml:space="preserve"> </w:t>
      </w:r>
      <w:r w:rsidR="000A0A09" w:rsidRPr="00CC5771">
        <w:rPr>
          <w:rFonts w:ascii="Times New Roman" w:hAnsi="Times New Roman" w:cs="Times New Roman"/>
          <w:lang w:val="en-CA"/>
        </w:rPr>
        <w:t xml:space="preserve">the policies were moderately faithful to the </w:t>
      </w:r>
      <w:r w:rsidR="00E83584" w:rsidRPr="00CC5771">
        <w:rPr>
          <w:rFonts w:ascii="Times New Roman" w:hAnsi="Times New Roman" w:cs="Times New Roman"/>
          <w:lang w:val="en-CA"/>
        </w:rPr>
        <w:t>definitions set out in the OHRC</w:t>
      </w:r>
      <w:r w:rsidR="00912EC7">
        <w:rPr>
          <w:rFonts w:ascii="Times New Roman" w:hAnsi="Times New Roman" w:cs="Times New Roman"/>
          <w:lang w:val="en-CA"/>
        </w:rPr>
        <w:t>’</w:t>
      </w:r>
      <w:r w:rsidR="00E83584" w:rsidRPr="00CC5771">
        <w:rPr>
          <w:rFonts w:ascii="Times New Roman" w:hAnsi="Times New Roman" w:cs="Times New Roman"/>
          <w:lang w:val="en-CA"/>
        </w:rPr>
        <w:t>s 2012 policy</w:t>
      </w:r>
      <w:r w:rsidR="000A0A09" w:rsidRPr="00CC5771">
        <w:rPr>
          <w:rFonts w:ascii="Times New Roman" w:hAnsi="Times New Roman" w:cs="Times New Roman"/>
          <w:lang w:val="en-CA"/>
        </w:rPr>
        <w:t>.</w:t>
      </w:r>
      <w:r w:rsidR="00E36D09" w:rsidRPr="00CC5771">
        <w:rPr>
          <w:rFonts w:ascii="Times New Roman" w:hAnsi="Times New Roman" w:cs="Times New Roman"/>
          <w:lang w:val="en-CA"/>
        </w:rPr>
        <w:t xml:space="preserve"> </w:t>
      </w:r>
      <w:r w:rsidR="000019BE" w:rsidRPr="00CC5771">
        <w:rPr>
          <w:rFonts w:ascii="Times New Roman" w:hAnsi="Times New Roman" w:cs="Times New Roman"/>
          <w:lang w:val="en-CA"/>
        </w:rPr>
        <w:t>Like the OHRC</w:t>
      </w:r>
      <w:r w:rsidR="00912EC7">
        <w:rPr>
          <w:rFonts w:ascii="Times New Roman" w:hAnsi="Times New Roman" w:cs="Times New Roman"/>
          <w:lang w:val="en-CA"/>
        </w:rPr>
        <w:t>’</w:t>
      </w:r>
      <w:r w:rsidR="000019BE" w:rsidRPr="00CC5771">
        <w:rPr>
          <w:rFonts w:ascii="Times New Roman" w:hAnsi="Times New Roman" w:cs="Times New Roman"/>
          <w:lang w:val="en-CA"/>
        </w:rPr>
        <w:t>s 2012 policy</w:t>
      </w:r>
      <w:r w:rsidR="00E83584" w:rsidRPr="00CC5771">
        <w:rPr>
          <w:rFonts w:ascii="Times New Roman" w:hAnsi="Times New Roman" w:cs="Times New Roman"/>
          <w:lang w:val="en-CA"/>
        </w:rPr>
        <w:t>, and unlike the Tribunal</w:t>
      </w:r>
      <w:r w:rsidR="00912EC7">
        <w:rPr>
          <w:rFonts w:ascii="Times New Roman" w:hAnsi="Times New Roman" w:cs="Times New Roman"/>
          <w:lang w:val="en-CA"/>
        </w:rPr>
        <w:t>’</w:t>
      </w:r>
      <w:r w:rsidR="00E83584" w:rsidRPr="00CC5771">
        <w:rPr>
          <w:rFonts w:ascii="Times New Roman" w:hAnsi="Times New Roman" w:cs="Times New Roman"/>
          <w:lang w:val="en-CA"/>
        </w:rPr>
        <w:t xml:space="preserve">s recent decisions in cases such as </w:t>
      </w:r>
      <w:r w:rsidR="00E83584" w:rsidRPr="00CC5771">
        <w:rPr>
          <w:rFonts w:ascii="Times New Roman" w:hAnsi="Times New Roman" w:cs="Times New Roman"/>
          <w:i/>
          <w:lang w:val="en-CA"/>
        </w:rPr>
        <w:t>Browne</w:t>
      </w:r>
      <w:r w:rsidR="00E83584" w:rsidRPr="00CC5771">
        <w:rPr>
          <w:rFonts w:ascii="Times New Roman" w:hAnsi="Times New Roman" w:cs="Times New Roman"/>
          <w:lang w:val="en-CA"/>
        </w:rPr>
        <w:t xml:space="preserve"> and </w:t>
      </w:r>
      <w:r w:rsidR="00E83584" w:rsidRPr="00CC5771">
        <w:rPr>
          <w:rFonts w:ascii="Times New Roman" w:hAnsi="Times New Roman" w:cs="Times New Roman"/>
          <w:i/>
          <w:lang w:val="en-CA"/>
        </w:rPr>
        <w:t>Barksey</w:t>
      </w:r>
      <w:r w:rsidR="000019BE" w:rsidRPr="00CC5771">
        <w:rPr>
          <w:rFonts w:ascii="Times New Roman" w:hAnsi="Times New Roman" w:cs="Times New Roman"/>
          <w:lang w:val="en-CA"/>
        </w:rPr>
        <w:t xml:space="preserve">, every </w:t>
      </w:r>
      <w:r w:rsidR="006F2BC9" w:rsidRPr="00CC5771">
        <w:rPr>
          <w:rFonts w:ascii="Times New Roman" w:hAnsi="Times New Roman" w:cs="Times New Roman"/>
          <w:lang w:val="en-CA"/>
        </w:rPr>
        <w:t xml:space="preserve">explicit </w:t>
      </w:r>
      <w:r w:rsidR="000019BE" w:rsidRPr="00CC5771">
        <w:rPr>
          <w:rFonts w:ascii="Times New Roman" w:hAnsi="Times New Roman" w:cs="Times New Roman"/>
          <w:lang w:val="en-CA"/>
        </w:rPr>
        <w:t xml:space="preserve">definition </w:t>
      </w:r>
      <w:r w:rsidR="000019BE" w:rsidRPr="00CC5771">
        <w:rPr>
          <w:rFonts w:ascii="Times New Roman" w:hAnsi="Times New Roman" w:cs="Times New Roman"/>
          <w:lang w:val="en-CA"/>
        </w:rPr>
        <w:lastRenderedPageBreak/>
        <w:t>constructed “gender expression” in</w:t>
      </w:r>
      <w:r w:rsidR="006A301D" w:rsidRPr="00CC5771">
        <w:rPr>
          <w:rFonts w:ascii="Times New Roman" w:hAnsi="Times New Roman" w:cs="Times New Roman"/>
          <w:lang w:val="en-CA"/>
        </w:rPr>
        <w:t xml:space="preserve"> </w:t>
      </w:r>
      <w:r w:rsidR="000019BE" w:rsidRPr="00CC5771">
        <w:rPr>
          <w:rFonts w:ascii="Times New Roman" w:hAnsi="Times New Roman" w:cs="Times New Roman"/>
          <w:lang w:val="en-CA"/>
        </w:rPr>
        <w:t>universalizing terms. For example, the Peel District School Board</w:t>
      </w:r>
      <w:r w:rsidR="00912EC7">
        <w:rPr>
          <w:rFonts w:ascii="Times New Roman" w:hAnsi="Times New Roman" w:cs="Times New Roman"/>
          <w:lang w:val="en-CA"/>
        </w:rPr>
        <w:t>’</w:t>
      </w:r>
      <w:r w:rsidR="000019BE" w:rsidRPr="00CC5771">
        <w:rPr>
          <w:rFonts w:ascii="Times New Roman" w:hAnsi="Times New Roman" w:cs="Times New Roman"/>
          <w:lang w:val="en-CA"/>
        </w:rPr>
        <w:t xml:space="preserve">s 2017 </w:t>
      </w:r>
      <w:r w:rsidR="000019BE" w:rsidRPr="00CC5771">
        <w:rPr>
          <w:rFonts w:ascii="Times New Roman" w:hAnsi="Times New Roman" w:cs="Times New Roman"/>
          <w:i/>
          <w:lang w:val="en-CA"/>
        </w:rPr>
        <w:t>Gender Identity and Gender Expression Guidelines</w:t>
      </w:r>
      <w:r w:rsidR="000019BE" w:rsidRPr="00CC5771">
        <w:rPr>
          <w:rFonts w:ascii="Times New Roman" w:hAnsi="Times New Roman" w:cs="Times New Roman"/>
          <w:lang w:val="en-CA"/>
        </w:rPr>
        <w:t xml:space="preserve"> </w:t>
      </w:r>
      <w:r w:rsidR="00E83584" w:rsidRPr="00CC5771">
        <w:rPr>
          <w:rFonts w:ascii="Times New Roman" w:hAnsi="Times New Roman" w:cs="Times New Roman"/>
          <w:lang w:val="en-CA"/>
        </w:rPr>
        <w:t>define</w:t>
      </w:r>
      <w:r w:rsidR="00484EAF" w:rsidRPr="00CC5771">
        <w:rPr>
          <w:rFonts w:ascii="Times New Roman" w:hAnsi="Times New Roman" w:cs="Times New Roman"/>
          <w:lang w:val="en-CA"/>
        </w:rPr>
        <w:t>s</w:t>
      </w:r>
      <w:r w:rsidR="00E83584" w:rsidRPr="00CC5771">
        <w:rPr>
          <w:rFonts w:ascii="Times New Roman" w:hAnsi="Times New Roman" w:cs="Times New Roman"/>
          <w:lang w:val="en-CA"/>
        </w:rPr>
        <w:t xml:space="preserve"> “gender expression” as</w:t>
      </w:r>
      <w:r w:rsidR="000019BE" w:rsidRPr="00CC5771">
        <w:rPr>
          <w:rFonts w:ascii="Times New Roman" w:hAnsi="Times New Roman" w:cs="Times New Roman"/>
          <w:lang w:val="en-CA"/>
        </w:rPr>
        <w:t xml:space="preserve">: </w:t>
      </w:r>
    </w:p>
    <w:p w14:paraId="36A8E9D0" w14:textId="11AAC22A" w:rsidR="000019BE" w:rsidRPr="00797F67" w:rsidRDefault="00E83584" w:rsidP="005A68A7">
      <w:pPr>
        <w:spacing w:after="240" w:line="480" w:lineRule="auto"/>
        <w:ind w:left="720" w:right="720"/>
        <w:rPr>
          <w:rFonts w:ascii="Times New Roman" w:hAnsi="Times New Roman" w:cs="Times New Roman"/>
          <w:sz w:val="22"/>
          <w:lang w:val="en-CA"/>
        </w:rPr>
      </w:pPr>
      <w:r w:rsidRPr="00797F67">
        <w:rPr>
          <w:rFonts w:ascii="Times New Roman" w:hAnsi="Times New Roman" w:cs="Times New Roman"/>
          <w:sz w:val="22"/>
          <w:lang w:val="en-CA"/>
        </w:rPr>
        <w:t>…</w:t>
      </w:r>
      <w:r w:rsidR="000019BE" w:rsidRPr="00797F67">
        <w:rPr>
          <w:rFonts w:ascii="Times New Roman" w:hAnsi="Times New Roman" w:cs="Times New Roman"/>
          <w:sz w:val="22"/>
          <w:lang w:val="en-CA"/>
        </w:rPr>
        <w:t>how a person publicly presents or expresses their gender. This can include behavio</w:t>
      </w:r>
      <w:r w:rsidR="000E159B">
        <w:rPr>
          <w:rFonts w:ascii="Times New Roman" w:hAnsi="Times New Roman" w:cs="Times New Roman"/>
          <w:sz w:val="22"/>
          <w:lang w:val="en-CA"/>
        </w:rPr>
        <w:t>u</w:t>
      </w:r>
      <w:r w:rsidR="000019BE" w:rsidRPr="00797F67">
        <w:rPr>
          <w:rFonts w:ascii="Times New Roman" w:hAnsi="Times New Roman" w:cs="Times New Roman"/>
          <w:sz w:val="22"/>
          <w:lang w:val="en-CA"/>
        </w:rPr>
        <w:t>r and outward appearance such as dress, hair, make-up, body language, and voice. A person</w:t>
      </w:r>
      <w:r w:rsidR="00912EC7">
        <w:rPr>
          <w:rFonts w:ascii="Times New Roman" w:hAnsi="Times New Roman" w:cs="Times New Roman"/>
          <w:sz w:val="22"/>
          <w:lang w:val="en-CA"/>
        </w:rPr>
        <w:t>’</w:t>
      </w:r>
      <w:r w:rsidR="000019BE" w:rsidRPr="00797F67">
        <w:rPr>
          <w:rFonts w:ascii="Times New Roman" w:hAnsi="Times New Roman" w:cs="Times New Roman"/>
          <w:sz w:val="22"/>
          <w:lang w:val="en-CA"/>
        </w:rPr>
        <w:t>s chosen name and pronoun are also common ways people express their gender. Others may perceive a person</w:t>
      </w:r>
      <w:r w:rsidR="00912EC7">
        <w:rPr>
          <w:rFonts w:ascii="Times New Roman" w:hAnsi="Times New Roman" w:cs="Times New Roman"/>
          <w:sz w:val="22"/>
          <w:lang w:val="en-CA"/>
        </w:rPr>
        <w:t>’</w:t>
      </w:r>
      <w:r w:rsidR="000019BE" w:rsidRPr="00797F67">
        <w:rPr>
          <w:rFonts w:ascii="Times New Roman" w:hAnsi="Times New Roman" w:cs="Times New Roman"/>
          <w:sz w:val="22"/>
          <w:lang w:val="en-CA"/>
        </w:rPr>
        <w:t xml:space="preserve">s gender through these attributes. </w:t>
      </w:r>
      <w:r w:rsidR="000019BE" w:rsidRPr="00797F67">
        <w:rPr>
          <w:rFonts w:ascii="Times New Roman" w:hAnsi="Times New Roman" w:cs="Times New Roman"/>
          <w:b/>
          <w:sz w:val="22"/>
          <w:lang w:val="en-CA"/>
        </w:rPr>
        <w:t>All people, regardless of their gender identity, have a gender expression and they may express it in any number of ways.</w:t>
      </w:r>
      <w:r w:rsidR="000019BE" w:rsidRPr="00797F67">
        <w:rPr>
          <w:rFonts w:ascii="Times New Roman" w:hAnsi="Times New Roman" w:cs="Times New Roman"/>
          <w:sz w:val="22"/>
          <w:lang w:val="en-CA"/>
        </w:rPr>
        <w:t xml:space="preserve"> For trans people, their chosen name, preferred pronoun and apparel are common ways they express their gender. People who are trans may also take medically supportive steps to align their body with their gender identity.</w:t>
      </w:r>
      <w:r w:rsidR="000019BE" w:rsidRPr="00797F67">
        <w:rPr>
          <w:rStyle w:val="FootnoteReference"/>
          <w:rFonts w:ascii="Times New Roman" w:hAnsi="Times New Roman" w:cs="Times New Roman"/>
          <w:sz w:val="22"/>
          <w:lang w:val="en-CA"/>
        </w:rPr>
        <w:footnoteReference w:id="81"/>
      </w:r>
    </w:p>
    <w:p w14:paraId="19CB9A59" w14:textId="6063E7E8" w:rsidR="000A0A09" w:rsidRPr="00CC5771" w:rsidRDefault="00D12129"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Unlike the Tribunal</w:t>
      </w:r>
      <w:r w:rsidR="00912EC7">
        <w:rPr>
          <w:rFonts w:ascii="Times New Roman" w:hAnsi="Times New Roman" w:cs="Times New Roman"/>
          <w:lang w:val="en-CA"/>
        </w:rPr>
        <w:t>’</w:t>
      </w:r>
      <w:r w:rsidRPr="00CC5771">
        <w:rPr>
          <w:rFonts w:ascii="Times New Roman" w:hAnsi="Times New Roman" w:cs="Times New Roman"/>
          <w:lang w:val="en-CA"/>
        </w:rPr>
        <w:t xml:space="preserve">s decisions in cases such </w:t>
      </w:r>
      <w:r w:rsidRPr="00CC5771">
        <w:rPr>
          <w:rFonts w:ascii="Times New Roman" w:hAnsi="Times New Roman" w:cs="Times New Roman"/>
          <w:i/>
          <w:lang w:val="en-CA"/>
        </w:rPr>
        <w:t>Browne</w:t>
      </w:r>
      <w:r w:rsidRPr="00CC5771">
        <w:rPr>
          <w:rFonts w:ascii="Times New Roman" w:hAnsi="Times New Roman" w:cs="Times New Roman"/>
          <w:lang w:val="en-CA"/>
        </w:rPr>
        <w:t xml:space="preserve"> and </w:t>
      </w:r>
      <w:r w:rsidRPr="00CC5771">
        <w:rPr>
          <w:rFonts w:ascii="Times New Roman" w:hAnsi="Times New Roman" w:cs="Times New Roman"/>
          <w:i/>
          <w:lang w:val="en-CA"/>
        </w:rPr>
        <w:t>Barksey</w:t>
      </w:r>
      <w:r w:rsidR="009155E1" w:rsidRPr="00CC5771">
        <w:rPr>
          <w:rFonts w:ascii="Times New Roman" w:hAnsi="Times New Roman" w:cs="Times New Roman"/>
          <w:lang w:val="en-CA"/>
        </w:rPr>
        <w:t>,</w:t>
      </w:r>
      <w:r w:rsidRPr="00CC5771">
        <w:rPr>
          <w:rFonts w:ascii="Times New Roman" w:hAnsi="Times New Roman" w:cs="Times New Roman"/>
          <w:lang w:val="en-CA"/>
        </w:rPr>
        <w:t xml:space="preserve"> the policy </w:t>
      </w:r>
      <w:r w:rsidR="00CA0D4F" w:rsidRPr="00CC5771">
        <w:rPr>
          <w:rFonts w:ascii="Times New Roman" w:hAnsi="Times New Roman" w:cs="Times New Roman"/>
          <w:lang w:val="en-CA"/>
        </w:rPr>
        <w:t xml:space="preserve">authors </w:t>
      </w:r>
      <w:r w:rsidR="006F2BC9" w:rsidRPr="00CC5771">
        <w:rPr>
          <w:rFonts w:ascii="Times New Roman" w:hAnsi="Times New Roman" w:cs="Times New Roman"/>
          <w:lang w:val="en-CA"/>
        </w:rPr>
        <w:t>explicitly state</w:t>
      </w:r>
      <w:r w:rsidR="009155E1" w:rsidRPr="00CC5771">
        <w:rPr>
          <w:rFonts w:ascii="Times New Roman" w:hAnsi="Times New Roman" w:cs="Times New Roman"/>
          <w:lang w:val="en-CA"/>
        </w:rPr>
        <w:t xml:space="preserve"> that “gender expression” is a term designed to capture “all people…in any number of ways.” This </w:t>
      </w:r>
      <w:r w:rsidR="00E83584" w:rsidRPr="00CC5771">
        <w:rPr>
          <w:rFonts w:ascii="Times New Roman" w:hAnsi="Times New Roman" w:cs="Times New Roman"/>
          <w:lang w:val="en-CA"/>
        </w:rPr>
        <w:t>clarifies the OHRC</w:t>
      </w:r>
      <w:r w:rsidR="00912EC7">
        <w:rPr>
          <w:rFonts w:ascii="Times New Roman" w:hAnsi="Times New Roman" w:cs="Times New Roman"/>
          <w:lang w:val="en-CA"/>
        </w:rPr>
        <w:t>’</w:t>
      </w:r>
      <w:r w:rsidR="00E83584" w:rsidRPr="00CC5771">
        <w:rPr>
          <w:rFonts w:ascii="Times New Roman" w:hAnsi="Times New Roman" w:cs="Times New Roman"/>
          <w:lang w:val="en-CA"/>
        </w:rPr>
        <w:t>s 2012</w:t>
      </w:r>
      <w:r w:rsidR="006A301D" w:rsidRPr="00CC5771">
        <w:rPr>
          <w:rFonts w:ascii="Times New Roman" w:hAnsi="Times New Roman" w:cs="Times New Roman"/>
          <w:lang w:val="en-CA"/>
        </w:rPr>
        <w:t xml:space="preserve"> definition</w:t>
      </w:r>
      <w:r w:rsidR="00E83584" w:rsidRPr="00CC5771">
        <w:rPr>
          <w:rFonts w:ascii="Times New Roman" w:hAnsi="Times New Roman" w:cs="Times New Roman"/>
          <w:lang w:val="en-CA"/>
        </w:rPr>
        <w:t xml:space="preserve">, while </w:t>
      </w:r>
      <w:r w:rsidR="008A342B" w:rsidRPr="00CC5771">
        <w:rPr>
          <w:rFonts w:ascii="Times New Roman" w:hAnsi="Times New Roman" w:cs="Times New Roman"/>
          <w:lang w:val="en-CA"/>
        </w:rPr>
        <w:t>moving</w:t>
      </w:r>
      <w:r w:rsidR="009155E1" w:rsidRPr="00CC5771">
        <w:rPr>
          <w:rFonts w:ascii="Times New Roman" w:hAnsi="Times New Roman" w:cs="Times New Roman"/>
          <w:lang w:val="en-CA"/>
        </w:rPr>
        <w:t xml:space="preserve"> far afield from </w:t>
      </w:r>
      <w:r w:rsidR="000F5A5E" w:rsidRPr="00CC5771">
        <w:rPr>
          <w:rFonts w:ascii="Times New Roman" w:hAnsi="Times New Roman" w:cs="Times New Roman"/>
          <w:i/>
          <w:lang w:val="en-CA"/>
        </w:rPr>
        <w:t>Browne</w:t>
      </w:r>
      <w:r w:rsidR="006F5FE8" w:rsidRPr="00CC5771">
        <w:rPr>
          <w:rFonts w:ascii="Times New Roman" w:hAnsi="Times New Roman" w:cs="Times New Roman"/>
          <w:lang w:val="en-CA"/>
        </w:rPr>
        <w:t xml:space="preserve">, where </w:t>
      </w:r>
      <w:r w:rsidR="00E83584" w:rsidRPr="00CC5771">
        <w:rPr>
          <w:rFonts w:ascii="Times New Roman" w:hAnsi="Times New Roman" w:cs="Times New Roman"/>
          <w:lang w:val="en-CA"/>
        </w:rPr>
        <w:t>the Tribunal</w:t>
      </w:r>
      <w:r w:rsidR="006F5FE8" w:rsidRPr="00CC5771">
        <w:rPr>
          <w:rFonts w:ascii="Times New Roman" w:hAnsi="Times New Roman" w:cs="Times New Roman"/>
          <w:lang w:val="en-CA"/>
        </w:rPr>
        <w:t xml:space="preserve"> excluded the applicant from the ground of “gender expression” because he </w:t>
      </w:r>
      <w:r w:rsidR="004E1AF2" w:rsidRPr="00CC5771">
        <w:rPr>
          <w:rFonts w:ascii="Times New Roman" w:hAnsi="Times New Roman" w:cs="Times New Roman"/>
          <w:lang w:val="en-CA"/>
        </w:rPr>
        <w:t>was</w:t>
      </w:r>
      <w:r w:rsidR="006F5FE8" w:rsidRPr="00CC5771">
        <w:rPr>
          <w:rFonts w:ascii="Times New Roman" w:hAnsi="Times New Roman" w:cs="Times New Roman"/>
          <w:lang w:val="en-CA"/>
        </w:rPr>
        <w:t xml:space="preserve"> “someone who self-identifies as male (gender) and was also born as a man (sex).”</w:t>
      </w:r>
      <w:r w:rsidR="006F5FE8" w:rsidRPr="00CC5771">
        <w:rPr>
          <w:rStyle w:val="FootnoteReference"/>
          <w:rFonts w:ascii="Times New Roman" w:hAnsi="Times New Roman" w:cs="Times New Roman"/>
          <w:lang w:val="en-CA"/>
        </w:rPr>
        <w:footnoteReference w:id="82"/>
      </w:r>
      <w:r w:rsidR="006F5FE8" w:rsidRPr="00CC5771">
        <w:rPr>
          <w:rFonts w:ascii="Times New Roman" w:hAnsi="Times New Roman" w:cs="Times New Roman"/>
          <w:lang w:val="en-CA"/>
        </w:rPr>
        <w:t xml:space="preserve"> The definition offered by the Peel District School Board is also far more expansive than the decision in</w:t>
      </w:r>
      <w:r w:rsidR="000F5A5E" w:rsidRPr="00CC5771">
        <w:rPr>
          <w:rFonts w:ascii="Times New Roman" w:hAnsi="Times New Roman" w:cs="Times New Roman"/>
          <w:lang w:val="en-CA"/>
        </w:rPr>
        <w:t xml:space="preserve"> </w:t>
      </w:r>
      <w:r w:rsidR="000F5A5E" w:rsidRPr="00CC5771">
        <w:rPr>
          <w:rFonts w:ascii="Times New Roman" w:hAnsi="Times New Roman" w:cs="Times New Roman"/>
          <w:i/>
          <w:lang w:val="en-CA"/>
        </w:rPr>
        <w:t>Barksey</w:t>
      </w:r>
      <w:r w:rsidR="006F5FE8" w:rsidRPr="00CC5771">
        <w:rPr>
          <w:rFonts w:ascii="Times New Roman" w:hAnsi="Times New Roman" w:cs="Times New Roman"/>
          <w:lang w:val="en-CA"/>
        </w:rPr>
        <w:t xml:space="preserve">, where the Tribunal </w:t>
      </w:r>
      <w:r w:rsidR="004E1AF2" w:rsidRPr="00CC5771">
        <w:rPr>
          <w:rFonts w:ascii="Times New Roman" w:hAnsi="Times New Roman" w:cs="Times New Roman"/>
          <w:lang w:val="en-CA"/>
        </w:rPr>
        <w:t>excluded the applicant</w:t>
      </w:r>
      <w:r w:rsidR="006F5FE8" w:rsidRPr="00CC5771">
        <w:rPr>
          <w:rFonts w:ascii="Times New Roman" w:hAnsi="Times New Roman" w:cs="Times New Roman"/>
          <w:lang w:val="en-CA"/>
        </w:rPr>
        <w:t xml:space="preserve"> from the ground of “gender expression” because he was a cisgender man engaged in so-called</w:t>
      </w:r>
      <w:r w:rsidR="000F5A5E" w:rsidRPr="00CC5771">
        <w:rPr>
          <w:rFonts w:ascii="Times New Roman" w:hAnsi="Times New Roman" w:cs="Times New Roman"/>
          <w:lang w:val="en-CA"/>
        </w:rPr>
        <w:t xml:space="preserve"> “gender conforming expression</w:t>
      </w:r>
      <w:r w:rsidR="009C3F79">
        <w:rPr>
          <w:rFonts w:ascii="Times New Roman" w:hAnsi="Times New Roman" w:cs="Times New Roman"/>
          <w:lang w:val="en-CA"/>
        </w:rPr>
        <w:t>.”</w:t>
      </w:r>
      <w:r w:rsidR="000F5A5E" w:rsidRPr="00CC5771">
        <w:rPr>
          <w:rStyle w:val="FootnoteReference"/>
          <w:rFonts w:ascii="Times New Roman" w:hAnsi="Times New Roman" w:cs="Times New Roman"/>
          <w:lang w:val="en-CA"/>
        </w:rPr>
        <w:footnoteReference w:id="83"/>
      </w:r>
      <w:r w:rsidR="00E83584" w:rsidRPr="00CC5771">
        <w:rPr>
          <w:rFonts w:ascii="Times New Roman" w:hAnsi="Times New Roman" w:cs="Times New Roman"/>
          <w:lang w:val="en-CA"/>
        </w:rPr>
        <w:t xml:space="preserve"> This</w:t>
      </w:r>
      <w:r w:rsidR="006A301D" w:rsidRPr="00CC5771">
        <w:rPr>
          <w:rFonts w:ascii="Times New Roman" w:hAnsi="Times New Roman" w:cs="Times New Roman"/>
          <w:lang w:val="en-CA"/>
        </w:rPr>
        <w:t xml:space="preserve"> </w:t>
      </w:r>
      <w:r w:rsidR="00E83584" w:rsidRPr="00CC5771">
        <w:rPr>
          <w:rFonts w:ascii="Times New Roman" w:hAnsi="Times New Roman" w:cs="Times New Roman"/>
          <w:lang w:val="en-CA"/>
        </w:rPr>
        <w:t>definition</w:t>
      </w:r>
      <w:r w:rsidR="006A301D" w:rsidRPr="00CC5771">
        <w:rPr>
          <w:rFonts w:ascii="Times New Roman" w:hAnsi="Times New Roman" w:cs="Times New Roman"/>
          <w:lang w:val="en-CA"/>
        </w:rPr>
        <w:t>, formed in the education context,</w:t>
      </w:r>
      <w:r w:rsidR="00E83584" w:rsidRPr="00CC5771">
        <w:rPr>
          <w:rFonts w:ascii="Times New Roman" w:hAnsi="Times New Roman" w:cs="Times New Roman"/>
          <w:lang w:val="en-CA"/>
        </w:rPr>
        <w:t xml:space="preserve"> suggests the emergence of a disjuncture between </w:t>
      </w:r>
      <w:r w:rsidR="00E83584" w:rsidRPr="00CC5771">
        <w:rPr>
          <w:rFonts w:ascii="Times New Roman" w:hAnsi="Times New Roman" w:cs="Times New Roman"/>
          <w:lang w:val="en-CA"/>
        </w:rPr>
        <w:lastRenderedPageBreak/>
        <w:t>recent efforts on the part of the Tribunal to constrain the expansive potential of “gender expression” and how school boards are interpreting their post-</w:t>
      </w:r>
      <w:r w:rsidR="00E83584" w:rsidRPr="00CC5771">
        <w:rPr>
          <w:rFonts w:ascii="Times New Roman" w:hAnsi="Times New Roman" w:cs="Times New Roman"/>
          <w:i/>
          <w:lang w:val="en-CA"/>
        </w:rPr>
        <w:t>Toby</w:t>
      </w:r>
      <w:r w:rsidR="00912EC7">
        <w:rPr>
          <w:rFonts w:ascii="Times New Roman" w:hAnsi="Times New Roman" w:cs="Times New Roman"/>
          <w:i/>
          <w:lang w:val="en-CA"/>
        </w:rPr>
        <w:t>’</w:t>
      </w:r>
      <w:r w:rsidR="00E83584" w:rsidRPr="00CC5771">
        <w:rPr>
          <w:rFonts w:ascii="Times New Roman" w:hAnsi="Times New Roman" w:cs="Times New Roman"/>
          <w:i/>
          <w:lang w:val="en-CA"/>
        </w:rPr>
        <w:t>s Act</w:t>
      </w:r>
      <w:r w:rsidR="00E83584" w:rsidRPr="00CC5771">
        <w:rPr>
          <w:rFonts w:ascii="Times New Roman" w:hAnsi="Times New Roman" w:cs="Times New Roman"/>
          <w:lang w:val="en-CA"/>
        </w:rPr>
        <w:t xml:space="preserve"> obligations</w:t>
      </w:r>
      <w:r w:rsidR="00CA0D4F" w:rsidRPr="00CC5771">
        <w:rPr>
          <w:rFonts w:ascii="Times New Roman" w:hAnsi="Times New Roman" w:cs="Times New Roman"/>
          <w:lang w:val="en-CA"/>
        </w:rPr>
        <w:t>.</w:t>
      </w:r>
    </w:p>
    <w:p w14:paraId="457ADE73" w14:textId="63957D1B" w:rsidR="00DC0EDC" w:rsidRPr="00CC5771" w:rsidRDefault="006D348D"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 xml:space="preserve">In other instances, definitions of “gender expression” </w:t>
      </w:r>
      <w:r w:rsidR="00442190" w:rsidRPr="00CC5771">
        <w:rPr>
          <w:rFonts w:ascii="Times New Roman" w:hAnsi="Times New Roman" w:cs="Times New Roman"/>
          <w:lang w:val="en-CA"/>
        </w:rPr>
        <w:t xml:space="preserve">did </w:t>
      </w:r>
      <w:r w:rsidRPr="00CC5771">
        <w:rPr>
          <w:rFonts w:ascii="Times New Roman" w:hAnsi="Times New Roman" w:cs="Times New Roman"/>
          <w:lang w:val="en-CA"/>
        </w:rPr>
        <w:t xml:space="preserve">not </w:t>
      </w:r>
      <w:r w:rsidR="008A342B" w:rsidRPr="00CC5771">
        <w:rPr>
          <w:rFonts w:ascii="Times New Roman" w:hAnsi="Times New Roman" w:cs="Times New Roman"/>
          <w:lang w:val="en-CA"/>
        </w:rPr>
        <w:t>draw</w:t>
      </w:r>
      <w:r w:rsidR="00484EAF" w:rsidRPr="00CC5771">
        <w:rPr>
          <w:rFonts w:ascii="Times New Roman" w:hAnsi="Times New Roman" w:cs="Times New Roman"/>
          <w:lang w:val="en-CA"/>
        </w:rPr>
        <w:t xml:space="preserve"> from</w:t>
      </w:r>
      <w:r w:rsidRPr="00CC5771">
        <w:rPr>
          <w:rFonts w:ascii="Times New Roman" w:hAnsi="Times New Roman" w:cs="Times New Roman"/>
          <w:lang w:val="en-CA"/>
        </w:rPr>
        <w:t xml:space="preserve"> the 2012 OHRC </w:t>
      </w:r>
      <w:r w:rsidR="00443A59">
        <w:rPr>
          <w:rFonts w:ascii="Times New Roman" w:hAnsi="Times New Roman" w:cs="Times New Roman"/>
          <w:lang w:val="en-CA"/>
        </w:rPr>
        <w:t xml:space="preserve">policy </w:t>
      </w:r>
      <w:r w:rsidRPr="00CC5771">
        <w:rPr>
          <w:rFonts w:ascii="Times New Roman" w:hAnsi="Times New Roman" w:cs="Times New Roman"/>
          <w:lang w:val="en-CA"/>
        </w:rPr>
        <w:t>at all. The Greater Essex County District School Board</w:t>
      </w:r>
      <w:r w:rsidR="00912EC7">
        <w:rPr>
          <w:rFonts w:ascii="Times New Roman" w:hAnsi="Times New Roman" w:cs="Times New Roman"/>
          <w:lang w:val="en-CA"/>
        </w:rPr>
        <w:t>’</w:t>
      </w:r>
      <w:r w:rsidRPr="00CC5771">
        <w:rPr>
          <w:rFonts w:ascii="Times New Roman" w:hAnsi="Times New Roman" w:cs="Times New Roman"/>
          <w:lang w:val="en-CA"/>
        </w:rPr>
        <w:t xml:space="preserve">s 2016 </w:t>
      </w:r>
      <w:r w:rsidRPr="00CC5771">
        <w:rPr>
          <w:rFonts w:ascii="Times New Roman" w:hAnsi="Times New Roman" w:cs="Times New Roman"/>
          <w:i/>
          <w:lang w:val="en-CA"/>
        </w:rPr>
        <w:t>Supporting Gender Identity</w:t>
      </w:r>
      <w:r w:rsidR="006A301D" w:rsidRPr="00CC5771">
        <w:rPr>
          <w:rFonts w:ascii="Times New Roman" w:hAnsi="Times New Roman" w:cs="Times New Roman"/>
          <w:lang w:val="en-CA"/>
        </w:rPr>
        <w:t xml:space="preserve"> policy, for example, defines</w:t>
      </w:r>
      <w:r w:rsidRPr="00CC5771">
        <w:rPr>
          <w:rFonts w:ascii="Times New Roman" w:hAnsi="Times New Roman" w:cs="Times New Roman"/>
          <w:lang w:val="en-CA"/>
        </w:rPr>
        <w:t xml:space="preserve"> “gender expression” as: “The various ways that we communicate our gender identity to others, for example, social roles, clothing, body language, hair styles, speech patterns, and voice pitch, given name, etcetera. Often this communication is ascribed to us at a young age and imposed on us through social norms and values.”</w:t>
      </w:r>
      <w:r w:rsidR="003E35D9" w:rsidRPr="00CC5771">
        <w:rPr>
          <w:rStyle w:val="FootnoteReference"/>
          <w:rFonts w:ascii="Times New Roman" w:hAnsi="Times New Roman" w:cs="Times New Roman"/>
          <w:lang w:val="en-CA"/>
        </w:rPr>
        <w:footnoteReference w:id="84"/>
      </w:r>
      <w:r w:rsidR="003E35D9" w:rsidRPr="00CC5771">
        <w:rPr>
          <w:rFonts w:ascii="Times New Roman" w:hAnsi="Times New Roman" w:cs="Times New Roman"/>
          <w:lang w:val="en-CA"/>
        </w:rPr>
        <w:t xml:space="preserve"> This definition appears to be more expansive than both the OHRC</w:t>
      </w:r>
      <w:r w:rsidR="00912EC7">
        <w:rPr>
          <w:rFonts w:ascii="Times New Roman" w:hAnsi="Times New Roman" w:cs="Times New Roman"/>
          <w:lang w:val="en-CA"/>
        </w:rPr>
        <w:t>’</w:t>
      </w:r>
      <w:r w:rsidR="003E35D9" w:rsidRPr="00CC5771">
        <w:rPr>
          <w:rFonts w:ascii="Times New Roman" w:hAnsi="Times New Roman" w:cs="Times New Roman"/>
          <w:lang w:val="en-CA"/>
        </w:rPr>
        <w:t>s 2012 policy</w:t>
      </w:r>
      <w:r w:rsidR="006F2BC9" w:rsidRPr="00CC5771">
        <w:rPr>
          <w:rFonts w:ascii="Times New Roman" w:hAnsi="Times New Roman" w:cs="Times New Roman"/>
          <w:lang w:val="en-CA"/>
        </w:rPr>
        <w:t xml:space="preserve"> and</w:t>
      </w:r>
      <w:r w:rsidR="003E35D9" w:rsidRPr="00CC5771">
        <w:rPr>
          <w:rFonts w:ascii="Times New Roman" w:hAnsi="Times New Roman" w:cs="Times New Roman"/>
          <w:lang w:val="en-CA"/>
        </w:rPr>
        <w:t xml:space="preserve"> recent statements from the Tribunal in </w:t>
      </w:r>
      <w:r w:rsidR="003E35D9" w:rsidRPr="00CC5771">
        <w:rPr>
          <w:rFonts w:ascii="Times New Roman" w:hAnsi="Times New Roman" w:cs="Times New Roman"/>
          <w:i/>
          <w:lang w:val="en-CA"/>
        </w:rPr>
        <w:t>Browne</w:t>
      </w:r>
      <w:r w:rsidR="003E35D9" w:rsidRPr="00CC5771">
        <w:rPr>
          <w:rFonts w:ascii="Times New Roman" w:hAnsi="Times New Roman" w:cs="Times New Roman"/>
          <w:lang w:val="en-CA"/>
        </w:rPr>
        <w:t xml:space="preserve"> and </w:t>
      </w:r>
      <w:r w:rsidR="003E35D9" w:rsidRPr="00CC5771">
        <w:rPr>
          <w:rFonts w:ascii="Times New Roman" w:hAnsi="Times New Roman" w:cs="Times New Roman"/>
          <w:i/>
          <w:lang w:val="en-CA"/>
        </w:rPr>
        <w:t>Barksey</w:t>
      </w:r>
      <w:r w:rsidR="000641DD">
        <w:rPr>
          <w:rFonts w:ascii="Times New Roman" w:hAnsi="Times New Roman" w:cs="Times New Roman"/>
          <w:i/>
          <w:lang w:val="en-CA"/>
        </w:rPr>
        <w:t>—</w:t>
      </w:r>
      <w:r w:rsidR="003E35D9" w:rsidRPr="00CC5771">
        <w:rPr>
          <w:rFonts w:ascii="Times New Roman" w:hAnsi="Times New Roman" w:cs="Times New Roman"/>
          <w:lang w:val="en-CA"/>
        </w:rPr>
        <w:t>the use of the words “we</w:t>
      </w:r>
      <w:r w:rsidR="009C3F79">
        <w:rPr>
          <w:rFonts w:ascii="Times New Roman" w:hAnsi="Times New Roman" w:cs="Times New Roman"/>
          <w:lang w:val="en-CA"/>
        </w:rPr>
        <w:t>,”</w:t>
      </w:r>
      <w:r w:rsidR="003E35D9" w:rsidRPr="00CC5771">
        <w:rPr>
          <w:rFonts w:ascii="Times New Roman" w:hAnsi="Times New Roman" w:cs="Times New Roman"/>
          <w:lang w:val="en-CA"/>
        </w:rPr>
        <w:t xml:space="preserve"> “our</w:t>
      </w:r>
      <w:r w:rsidR="009C3F79">
        <w:rPr>
          <w:rFonts w:ascii="Times New Roman" w:hAnsi="Times New Roman" w:cs="Times New Roman"/>
          <w:lang w:val="en-CA"/>
        </w:rPr>
        <w:t>,”</w:t>
      </w:r>
      <w:r w:rsidR="003E35D9" w:rsidRPr="00CC5771">
        <w:rPr>
          <w:rFonts w:ascii="Times New Roman" w:hAnsi="Times New Roman" w:cs="Times New Roman"/>
          <w:lang w:val="en-CA"/>
        </w:rPr>
        <w:t xml:space="preserve"> and “us” suggests an underlying commitment to “gender expression” as a universalizing </w:t>
      </w:r>
      <w:r w:rsidR="00DB507D" w:rsidRPr="00CC5771">
        <w:rPr>
          <w:rFonts w:ascii="Times New Roman" w:hAnsi="Times New Roman" w:cs="Times New Roman"/>
          <w:lang w:val="en-CA"/>
        </w:rPr>
        <w:t>construct</w:t>
      </w:r>
      <w:r w:rsidR="003E35D9" w:rsidRPr="00CC5771">
        <w:rPr>
          <w:rFonts w:ascii="Times New Roman" w:hAnsi="Times New Roman" w:cs="Times New Roman"/>
          <w:lang w:val="en-CA"/>
        </w:rPr>
        <w:t xml:space="preserve"> </w:t>
      </w:r>
      <w:r w:rsidR="006A301D" w:rsidRPr="00CC5771">
        <w:rPr>
          <w:rFonts w:ascii="Times New Roman" w:hAnsi="Times New Roman" w:cs="Times New Roman"/>
          <w:lang w:val="en-CA"/>
        </w:rPr>
        <w:t>applying</w:t>
      </w:r>
      <w:r w:rsidR="003E35D9" w:rsidRPr="00CC5771">
        <w:rPr>
          <w:rFonts w:ascii="Times New Roman" w:hAnsi="Times New Roman" w:cs="Times New Roman"/>
          <w:lang w:val="en-CA"/>
        </w:rPr>
        <w:t xml:space="preserve"> to all members of </w:t>
      </w:r>
      <w:r w:rsidR="00407022" w:rsidRPr="00CC5771">
        <w:rPr>
          <w:rFonts w:ascii="Times New Roman" w:hAnsi="Times New Roman" w:cs="Times New Roman"/>
          <w:lang w:val="en-CA"/>
        </w:rPr>
        <w:t>the school community</w:t>
      </w:r>
      <w:r w:rsidR="003E35D9" w:rsidRPr="00CC5771">
        <w:rPr>
          <w:rFonts w:ascii="Times New Roman" w:hAnsi="Times New Roman" w:cs="Times New Roman"/>
          <w:lang w:val="en-CA"/>
        </w:rPr>
        <w:t xml:space="preserve">, </w:t>
      </w:r>
      <w:r w:rsidR="00DB507D" w:rsidRPr="00CC5771">
        <w:rPr>
          <w:rFonts w:ascii="Times New Roman" w:hAnsi="Times New Roman" w:cs="Times New Roman"/>
          <w:lang w:val="en-CA"/>
        </w:rPr>
        <w:t>regardless of whether</w:t>
      </w:r>
      <w:r w:rsidR="003E35D9" w:rsidRPr="00CC5771">
        <w:rPr>
          <w:rFonts w:ascii="Times New Roman" w:hAnsi="Times New Roman" w:cs="Times New Roman"/>
          <w:lang w:val="en-CA"/>
        </w:rPr>
        <w:t xml:space="preserve"> or not they </w:t>
      </w:r>
      <w:r w:rsidR="00DB507D" w:rsidRPr="00CC5771">
        <w:rPr>
          <w:rFonts w:ascii="Times New Roman" w:hAnsi="Times New Roman" w:cs="Times New Roman"/>
          <w:lang w:val="en-CA"/>
        </w:rPr>
        <w:t>identify</w:t>
      </w:r>
      <w:r w:rsidR="003E35D9" w:rsidRPr="00CC5771">
        <w:rPr>
          <w:rFonts w:ascii="Times New Roman" w:hAnsi="Times New Roman" w:cs="Times New Roman"/>
          <w:lang w:val="en-CA"/>
        </w:rPr>
        <w:t xml:space="preserve"> as trans</w:t>
      </w:r>
      <w:r w:rsidR="00D577C6" w:rsidRPr="00CC5771">
        <w:rPr>
          <w:rFonts w:ascii="Times New Roman" w:hAnsi="Times New Roman" w:cs="Times New Roman"/>
          <w:lang w:val="en-CA"/>
        </w:rPr>
        <w:t>gender</w:t>
      </w:r>
      <w:r w:rsidR="003E35D9" w:rsidRPr="00CC5771">
        <w:rPr>
          <w:rFonts w:ascii="Times New Roman" w:hAnsi="Times New Roman" w:cs="Times New Roman"/>
          <w:lang w:val="en-CA"/>
        </w:rPr>
        <w:t xml:space="preserve"> and/or non-binary. </w:t>
      </w:r>
      <w:r w:rsidR="00DB507D" w:rsidRPr="00CC5771">
        <w:rPr>
          <w:rFonts w:ascii="Times New Roman" w:hAnsi="Times New Roman" w:cs="Times New Roman"/>
          <w:lang w:val="en-CA"/>
        </w:rPr>
        <w:t>In other policies where the definitions did not accord with the OHRC</w:t>
      </w:r>
      <w:r w:rsidR="00912EC7">
        <w:rPr>
          <w:rFonts w:ascii="Times New Roman" w:hAnsi="Times New Roman" w:cs="Times New Roman"/>
          <w:lang w:val="en-CA"/>
        </w:rPr>
        <w:t>’</w:t>
      </w:r>
      <w:r w:rsidR="00DB507D" w:rsidRPr="00CC5771">
        <w:rPr>
          <w:rFonts w:ascii="Times New Roman" w:hAnsi="Times New Roman" w:cs="Times New Roman"/>
          <w:lang w:val="en-CA"/>
        </w:rPr>
        <w:t>s 2012 policy, the authors emphasize the cultural specificity of “gender expression.” The Toronto District School Board</w:t>
      </w:r>
      <w:r w:rsidR="00912EC7">
        <w:rPr>
          <w:rFonts w:ascii="Times New Roman" w:hAnsi="Times New Roman" w:cs="Times New Roman"/>
          <w:lang w:val="en-CA"/>
        </w:rPr>
        <w:t>’</w:t>
      </w:r>
      <w:r w:rsidR="00DB507D" w:rsidRPr="00CC5771">
        <w:rPr>
          <w:rFonts w:ascii="Times New Roman" w:hAnsi="Times New Roman" w:cs="Times New Roman"/>
          <w:lang w:val="en-CA"/>
        </w:rPr>
        <w:t xml:space="preserve">s 2018 </w:t>
      </w:r>
      <w:r w:rsidR="00DB507D" w:rsidRPr="00CC5771">
        <w:rPr>
          <w:rFonts w:ascii="Times New Roman" w:hAnsi="Times New Roman" w:cs="Times New Roman"/>
          <w:i/>
          <w:lang w:val="en-CA"/>
        </w:rPr>
        <w:t>Equity Policy</w:t>
      </w:r>
      <w:r w:rsidR="00DB507D" w:rsidRPr="00CC5771">
        <w:rPr>
          <w:rFonts w:ascii="Times New Roman" w:hAnsi="Times New Roman" w:cs="Times New Roman"/>
          <w:lang w:val="en-CA"/>
        </w:rPr>
        <w:t>, for example, defines “gender expression” as “the way an individual expresses their Gender Identity (e.g. in the way they dress, the length and style of their hair, the way they act or speak, the volume of their voice, and in the choice of whether or not to wear make-up)</w:t>
      </w:r>
      <w:r w:rsidR="00F859F8">
        <w:rPr>
          <w:rFonts w:ascii="Times New Roman" w:hAnsi="Times New Roman" w:cs="Times New Roman"/>
          <w:lang w:val="en-CA"/>
        </w:rPr>
        <w:t>.</w:t>
      </w:r>
      <w:r w:rsidR="00DB507D" w:rsidRPr="00CC5771">
        <w:rPr>
          <w:rFonts w:ascii="Times New Roman" w:hAnsi="Times New Roman" w:cs="Times New Roman"/>
          <w:lang w:val="en-CA"/>
        </w:rPr>
        <w:t xml:space="preserve"> Understandings of gender expression are culturally specific and will change over time.”</w:t>
      </w:r>
      <w:r w:rsidR="00DB507D" w:rsidRPr="00CC5771">
        <w:rPr>
          <w:rStyle w:val="FootnoteReference"/>
          <w:rFonts w:ascii="Times New Roman" w:hAnsi="Times New Roman" w:cs="Times New Roman"/>
          <w:lang w:val="en-CA"/>
        </w:rPr>
        <w:footnoteReference w:id="85"/>
      </w:r>
    </w:p>
    <w:p w14:paraId="525819CC" w14:textId="44E0519A" w:rsidR="00BF43BB" w:rsidRPr="00CC5771" w:rsidRDefault="00DB507D"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lastRenderedPageBreak/>
        <w:t xml:space="preserve">Turning to our dataset </w:t>
      </w:r>
      <w:r w:rsidR="00DD772F" w:rsidRPr="00CC5771">
        <w:rPr>
          <w:rFonts w:ascii="Times New Roman" w:hAnsi="Times New Roman" w:cs="Times New Roman"/>
          <w:lang w:val="en-CA"/>
        </w:rPr>
        <w:t xml:space="preserve">of </w:t>
      </w:r>
      <w:r w:rsidR="00F859F8">
        <w:rPr>
          <w:rFonts w:ascii="Times New Roman" w:hAnsi="Times New Roman" w:cs="Times New Roman"/>
          <w:lang w:val="en-CA"/>
        </w:rPr>
        <w:t>twenty-four</w:t>
      </w:r>
      <w:r w:rsidR="00F859F8" w:rsidRPr="00CC5771">
        <w:rPr>
          <w:rFonts w:ascii="Times New Roman" w:hAnsi="Times New Roman" w:cs="Times New Roman"/>
          <w:lang w:val="en-CA"/>
        </w:rPr>
        <w:t xml:space="preserve"> </w:t>
      </w:r>
      <w:r w:rsidR="00DD772F" w:rsidRPr="00CC5771">
        <w:rPr>
          <w:rFonts w:ascii="Times New Roman" w:hAnsi="Times New Roman" w:cs="Times New Roman"/>
          <w:lang w:val="en-CA"/>
        </w:rPr>
        <w:t>explicit</w:t>
      </w:r>
      <w:r w:rsidRPr="00CC5771">
        <w:rPr>
          <w:rFonts w:ascii="Times New Roman" w:hAnsi="Times New Roman" w:cs="Times New Roman"/>
          <w:lang w:val="en-CA"/>
        </w:rPr>
        <w:t xml:space="preserve"> definitions of “gender identity</w:t>
      </w:r>
      <w:r w:rsidR="009C3F79">
        <w:rPr>
          <w:rFonts w:ascii="Times New Roman" w:hAnsi="Times New Roman" w:cs="Times New Roman"/>
          <w:lang w:val="en-CA"/>
        </w:rPr>
        <w:t>,”</w:t>
      </w:r>
      <w:r w:rsidRPr="00CC5771">
        <w:rPr>
          <w:rFonts w:ascii="Times New Roman" w:hAnsi="Times New Roman" w:cs="Times New Roman"/>
          <w:lang w:val="en-CA"/>
        </w:rPr>
        <w:t xml:space="preserve"> we </w:t>
      </w:r>
      <w:r w:rsidR="00216D3B" w:rsidRPr="00CC5771">
        <w:rPr>
          <w:rFonts w:ascii="Times New Roman" w:hAnsi="Times New Roman" w:cs="Times New Roman"/>
          <w:lang w:val="en-CA"/>
        </w:rPr>
        <w:t xml:space="preserve">found only </w:t>
      </w:r>
      <w:r w:rsidR="006F2BC9" w:rsidRPr="00CC5771">
        <w:rPr>
          <w:rFonts w:ascii="Times New Roman" w:hAnsi="Times New Roman" w:cs="Times New Roman"/>
          <w:lang w:val="en-CA"/>
        </w:rPr>
        <w:t>two</w:t>
      </w:r>
      <w:r w:rsidR="00216D3B" w:rsidRPr="00CC5771">
        <w:rPr>
          <w:rFonts w:ascii="Times New Roman" w:hAnsi="Times New Roman" w:cs="Times New Roman"/>
          <w:lang w:val="en-CA"/>
        </w:rPr>
        <w:t xml:space="preserve"> policies containing definitions that had been </w:t>
      </w:r>
      <w:r w:rsidR="004711F0" w:rsidRPr="00CC5771">
        <w:rPr>
          <w:rFonts w:ascii="Times New Roman" w:hAnsi="Times New Roman" w:cs="Times New Roman"/>
          <w:lang w:val="en-CA"/>
        </w:rPr>
        <w:t xml:space="preserve">directly </w:t>
      </w:r>
      <w:r w:rsidR="00216D3B" w:rsidRPr="00CC5771">
        <w:rPr>
          <w:rFonts w:ascii="Times New Roman" w:hAnsi="Times New Roman" w:cs="Times New Roman"/>
          <w:lang w:val="en-CA"/>
        </w:rPr>
        <w:t>copied from the OHRC</w:t>
      </w:r>
      <w:r w:rsidR="00912EC7">
        <w:rPr>
          <w:rFonts w:ascii="Times New Roman" w:hAnsi="Times New Roman" w:cs="Times New Roman"/>
          <w:lang w:val="en-CA"/>
        </w:rPr>
        <w:t>’</w:t>
      </w:r>
      <w:r w:rsidR="00216D3B" w:rsidRPr="00CC5771">
        <w:rPr>
          <w:rFonts w:ascii="Times New Roman" w:hAnsi="Times New Roman" w:cs="Times New Roman"/>
          <w:lang w:val="en-CA"/>
        </w:rPr>
        <w:t xml:space="preserve">s 2012 </w:t>
      </w:r>
      <w:r w:rsidR="00DD772F" w:rsidRPr="00CC5771">
        <w:rPr>
          <w:rFonts w:ascii="Times New Roman" w:hAnsi="Times New Roman" w:cs="Times New Roman"/>
          <w:lang w:val="en-CA"/>
        </w:rPr>
        <w:t>policy</w:t>
      </w:r>
      <w:r w:rsidR="00216D3B" w:rsidRPr="00CC5771">
        <w:rPr>
          <w:rFonts w:ascii="Times New Roman" w:hAnsi="Times New Roman" w:cs="Times New Roman"/>
          <w:lang w:val="en-CA"/>
        </w:rPr>
        <w:t xml:space="preserve">. These are the same policies where the definitions of “gender expression” are </w:t>
      </w:r>
      <w:r w:rsidR="006A301D" w:rsidRPr="00CC5771">
        <w:rPr>
          <w:rFonts w:ascii="Times New Roman" w:hAnsi="Times New Roman" w:cs="Times New Roman"/>
          <w:lang w:val="en-CA"/>
        </w:rPr>
        <w:t>also borrowed directly from the OHRC</w:t>
      </w:r>
      <w:r w:rsidR="00216D3B" w:rsidRPr="00CC5771">
        <w:rPr>
          <w:rFonts w:ascii="Times New Roman" w:hAnsi="Times New Roman" w:cs="Times New Roman"/>
          <w:lang w:val="en-CA"/>
        </w:rPr>
        <w:t>.</w:t>
      </w:r>
      <w:r w:rsidR="00054A51" w:rsidRPr="00CC5771">
        <w:rPr>
          <w:rStyle w:val="FootnoteReference"/>
          <w:rFonts w:ascii="Times New Roman" w:hAnsi="Times New Roman" w:cs="Times New Roman"/>
          <w:lang w:val="en-CA"/>
        </w:rPr>
        <w:footnoteReference w:id="86"/>
      </w:r>
      <w:r w:rsidR="00DD772F" w:rsidRPr="00CC5771">
        <w:rPr>
          <w:rFonts w:ascii="Times New Roman" w:hAnsi="Times New Roman" w:cs="Times New Roman"/>
          <w:lang w:val="en-CA"/>
        </w:rPr>
        <w:t xml:space="preserve"> While the majority of </w:t>
      </w:r>
      <w:r w:rsidR="006A301D" w:rsidRPr="00CC5771">
        <w:rPr>
          <w:rFonts w:ascii="Times New Roman" w:hAnsi="Times New Roman" w:cs="Times New Roman"/>
          <w:lang w:val="en-CA"/>
        </w:rPr>
        <w:t xml:space="preserve">the </w:t>
      </w:r>
      <w:r w:rsidR="00DD772F" w:rsidRPr="00CC5771">
        <w:rPr>
          <w:rFonts w:ascii="Times New Roman" w:hAnsi="Times New Roman" w:cs="Times New Roman"/>
          <w:lang w:val="en-CA"/>
        </w:rPr>
        <w:t>definitions appear to have drawn from th</w:t>
      </w:r>
      <w:r w:rsidR="00320D46" w:rsidRPr="00CC5771">
        <w:rPr>
          <w:rFonts w:ascii="Times New Roman" w:hAnsi="Times New Roman" w:cs="Times New Roman"/>
          <w:lang w:val="en-CA"/>
        </w:rPr>
        <w:t>e OHRC, all but three contained additional</w:t>
      </w:r>
      <w:r w:rsidR="00DD772F" w:rsidRPr="00CC5771">
        <w:rPr>
          <w:rFonts w:ascii="Times New Roman" w:hAnsi="Times New Roman" w:cs="Times New Roman"/>
          <w:lang w:val="en-CA"/>
        </w:rPr>
        <w:t xml:space="preserve"> text, seemingly in an effort to better explain the meaning of “gender identity.” </w:t>
      </w:r>
      <w:r w:rsidR="006A301D" w:rsidRPr="00CC5771">
        <w:rPr>
          <w:rFonts w:ascii="Times New Roman" w:hAnsi="Times New Roman" w:cs="Times New Roman"/>
          <w:lang w:val="en-CA"/>
        </w:rPr>
        <w:t>Importantly, none</w:t>
      </w:r>
      <w:r w:rsidR="00754941" w:rsidRPr="00CC5771">
        <w:rPr>
          <w:rFonts w:ascii="Times New Roman" w:hAnsi="Times New Roman" w:cs="Times New Roman"/>
          <w:lang w:val="en-CA"/>
        </w:rPr>
        <w:t xml:space="preserve"> of the</w:t>
      </w:r>
      <w:r w:rsidR="006A301D" w:rsidRPr="00CC5771">
        <w:rPr>
          <w:rFonts w:ascii="Times New Roman" w:hAnsi="Times New Roman" w:cs="Times New Roman"/>
          <w:lang w:val="en-CA"/>
        </w:rPr>
        <w:t xml:space="preserve"> definitional</w:t>
      </w:r>
      <w:r w:rsidR="00754941" w:rsidRPr="00CC5771">
        <w:rPr>
          <w:rFonts w:ascii="Times New Roman" w:hAnsi="Times New Roman" w:cs="Times New Roman"/>
          <w:lang w:val="en-CA"/>
        </w:rPr>
        <w:t xml:space="preserve"> changes were designed to constrain the use of “gender identity” as something that only applies to trans</w:t>
      </w:r>
      <w:r w:rsidR="00D577C6" w:rsidRPr="00CC5771">
        <w:rPr>
          <w:rFonts w:ascii="Times New Roman" w:hAnsi="Times New Roman" w:cs="Times New Roman"/>
          <w:lang w:val="en-CA"/>
        </w:rPr>
        <w:t>gender</w:t>
      </w:r>
      <w:r w:rsidR="00754941" w:rsidRPr="00CC5771">
        <w:rPr>
          <w:rFonts w:ascii="Times New Roman" w:hAnsi="Times New Roman" w:cs="Times New Roman"/>
          <w:lang w:val="en-CA"/>
        </w:rPr>
        <w:t xml:space="preserve"> and/or non-binary people. When changes were made to the OHRC</w:t>
      </w:r>
      <w:r w:rsidR="00912EC7">
        <w:rPr>
          <w:rFonts w:ascii="Times New Roman" w:hAnsi="Times New Roman" w:cs="Times New Roman"/>
          <w:lang w:val="en-CA"/>
        </w:rPr>
        <w:t>’</w:t>
      </w:r>
      <w:r w:rsidR="00754941" w:rsidRPr="00CC5771">
        <w:rPr>
          <w:rFonts w:ascii="Times New Roman" w:hAnsi="Times New Roman" w:cs="Times New Roman"/>
          <w:lang w:val="en-CA"/>
        </w:rPr>
        <w:t>s definition, they invariably expanded the scope of the term to include more people. For example,</w:t>
      </w:r>
      <w:r w:rsidR="00BF43BB" w:rsidRPr="00CC5771">
        <w:rPr>
          <w:rFonts w:ascii="Times New Roman" w:hAnsi="Times New Roman" w:cs="Times New Roman"/>
          <w:lang w:val="en-CA"/>
        </w:rPr>
        <w:t xml:space="preserve"> the Greater Essex District School Board</w:t>
      </w:r>
      <w:r w:rsidR="00912EC7">
        <w:rPr>
          <w:rFonts w:ascii="Times New Roman" w:hAnsi="Times New Roman" w:cs="Times New Roman"/>
          <w:lang w:val="en-CA"/>
        </w:rPr>
        <w:t>’</w:t>
      </w:r>
      <w:r w:rsidR="00BF43BB" w:rsidRPr="00CC5771">
        <w:rPr>
          <w:rFonts w:ascii="Times New Roman" w:hAnsi="Times New Roman" w:cs="Times New Roman"/>
          <w:lang w:val="en-CA"/>
        </w:rPr>
        <w:t xml:space="preserve">s 2016 </w:t>
      </w:r>
      <w:r w:rsidR="00BF43BB" w:rsidRPr="00CC5771">
        <w:rPr>
          <w:rFonts w:ascii="Times New Roman" w:hAnsi="Times New Roman" w:cs="Times New Roman"/>
          <w:i/>
          <w:lang w:val="en-CA"/>
        </w:rPr>
        <w:t>Supporting Gender Identity</w:t>
      </w:r>
      <w:r w:rsidR="00BF43BB" w:rsidRPr="00CC5771">
        <w:rPr>
          <w:rFonts w:ascii="Times New Roman" w:hAnsi="Times New Roman" w:cs="Times New Roman"/>
          <w:lang w:val="en-CA"/>
        </w:rPr>
        <w:t xml:space="preserve"> policy describes “gender identity” as: “A person</w:t>
      </w:r>
      <w:r w:rsidR="00912EC7">
        <w:rPr>
          <w:rFonts w:ascii="Times New Roman" w:hAnsi="Times New Roman" w:cs="Times New Roman"/>
          <w:lang w:val="en-CA"/>
        </w:rPr>
        <w:t>’</w:t>
      </w:r>
      <w:r w:rsidR="00BF43BB" w:rsidRPr="00CC5771">
        <w:rPr>
          <w:rFonts w:ascii="Times New Roman" w:hAnsi="Times New Roman" w:cs="Times New Roman"/>
          <w:lang w:val="en-CA"/>
        </w:rPr>
        <w:t>s intrinsic sense of self in relation to gender. We all have a gender identity and live within a society that recognizes a gender binary that provides structure to our social roles that come with power, responsibilities, and privilege to a greater or lesser extent.”</w:t>
      </w:r>
      <w:r w:rsidR="00BF43BB" w:rsidRPr="00CC5771">
        <w:rPr>
          <w:rStyle w:val="FootnoteReference"/>
          <w:rFonts w:ascii="Times New Roman" w:hAnsi="Times New Roman" w:cs="Times New Roman"/>
          <w:lang w:val="en-CA"/>
        </w:rPr>
        <w:footnoteReference w:id="87"/>
      </w:r>
      <w:r w:rsidR="00BF43BB" w:rsidRPr="00CC5771">
        <w:rPr>
          <w:rFonts w:ascii="Times New Roman" w:hAnsi="Times New Roman" w:cs="Times New Roman"/>
          <w:lang w:val="en-CA"/>
        </w:rPr>
        <w:t xml:space="preserve"> In this definitio</w:t>
      </w:r>
      <w:r w:rsidR="006A301D" w:rsidRPr="00CC5771">
        <w:rPr>
          <w:rFonts w:ascii="Times New Roman" w:hAnsi="Times New Roman" w:cs="Times New Roman"/>
          <w:lang w:val="en-CA"/>
        </w:rPr>
        <w:t xml:space="preserve">n, we see the authors </w:t>
      </w:r>
      <w:r w:rsidR="00F13347" w:rsidRPr="00CC5771">
        <w:rPr>
          <w:rFonts w:ascii="Times New Roman" w:hAnsi="Times New Roman" w:cs="Times New Roman"/>
          <w:lang w:val="en-CA"/>
        </w:rPr>
        <w:t xml:space="preserve">striving to </w:t>
      </w:r>
      <w:r w:rsidR="006A301D" w:rsidRPr="00CC5771">
        <w:rPr>
          <w:rFonts w:ascii="Times New Roman" w:hAnsi="Times New Roman" w:cs="Times New Roman"/>
          <w:lang w:val="en-CA"/>
        </w:rPr>
        <w:t xml:space="preserve">define </w:t>
      </w:r>
      <w:r w:rsidR="00BF43BB" w:rsidRPr="00CC5771">
        <w:rPr>
          <w:rFonts w:ascii="Times New Roman" w:hAnsi="Times New Roman" w:cs="Times New Roman"/>
          <w:lang w:val="en-CA"/>
        </w:rPr>
        <w:t xml:space="preserve">“gender identity” </w:t>
      </w:r>
      <w:r w:rsidR="00442190" w:rsidRPr="00CC5771">
        <w:rPr>
          <w:rFonts w:ascii="Times New Roman" w:hAnsi="Times New Roman" w:cs="Times New Roman"/>
          <w:lang w:val="en-CA"/>
        </w:rPr>
        <w:t>as applying to everyone</w:t>
      </w:r>
      <w:r w:rsidR="00BF43BB" w:rsidRPr="00CC5771">
        <w:rPr>
          <w:rFonts w:ascii="Times New Roman" w:hAnsi="Times New Roman" w:cs="Times New Roman"/>
          <w:lang w:val="en-CA"/>
        </w:rPr>
        <w:t>. Similarly,</w:t>
      </w:r>
      <w:r w:rsidR="00754941" w:rsidRPr="00CC5771">
        <w:rPr>
          <w:rFonts w:ascii="Times New Roman" w:hAnsi="Times New Roman" w:cs="Times New Roman"/>
          <w:lang w:val="en-CA"/>
        </w:rPr>
        <w:t xml:space="preserve"> </w:t>
      </w:r>
      <w:r w:rsidR="00320D46" w:rsidRPr="00CC5771">
        <w:rPr>
          <w:rFonts w:ascii="Times New Roman" w:hAnsi="Times New Roman" w:cs="Times New Roman"/>
          <w:lang w:val="en-CA"/>
        </w:rPr>
        <w:t>the Upper Grand District School Board</w:t>
      </w:r>
      <w:r w:rsidR="00912EC7">
        <w:rPr>
          <w:rFonts w:ascii="Times New Roman" w:hAnsi="Times New Roman" w:cs="Times New Roman"/>
          <w:lang w:val="en-CA"/>
        </w:rPr>
        <w:t>’</w:t>
      </w:r>
      <w:r w:rsidR="00320D46" w:rsidRPr="00CC5771">
        <w:rPr>
          <w:rFonts w:ascii="Times New Roman" w:hAnsi="Times New Roman" w:cs="Times New Roman"/>
          <w:lang w:val="en-CA"/>
        </w:rPr>
        <w:t xml:space="preserve">s 2016 </w:t>
      </w:r>
      <w:r w:rsidR="00320D46" w:rsidRPr="00CC5771">
        <w:rPr>
          <w:rFonts w:ascii="Times New Roman" w:hAnsi="Times New Roman" w:cs="Times New Roman"/>
          <w:i/>
          <w:lang w:val="en-CA"/>
        </w:rPr>
        <w:t>Equity and Inclusive Education Manual</w:t>
      </w:r>
      <w:r w:rsidR="00320D46" w:rsidRPr="00CC5771">
        <w:rPr>
          <w:rFonts w:ascii="Times New Roman" w:hAnsi="Times New Roman" w:cs="Times New Roman"/>
          <w:lang w:val="en-CA"/>
        </w:rPr>
        <w:t xml:space="preserve"> describes “gender identity” as being “based on attributes reflected in the person</w:t>
      </w:r>
      <w:r w:rsidR="00912EC7">
        <w:rPr>
          <w:rFonts w:ascii="Times New Roman" w:hAnsi="Times New Roman" w:cs="Times New Roman"/>
          <w:lang w:val="en-CA"/>
        </w:rPr>
        <w:t>’</w:t>
      </w:r>
      <w:r w:rsidR="00320D46" w:rsidRPr="00CC5771">
        <w:rPr>
          <w:rFonts w:ascii="Times New Roman" w:hAnsi="Times New Roman" w:cs="Times New Roman"/>
          <w:lang w:val="en-CA"/>
        </w:rPr>
        <w:t>s psychological, behavio</w:t>
      </w:r>
      <w:r w:rsidR="00BF43BB" w:rsidRPr="00CC5771">
        <w:rPr>
          <w:rFonts w:ascii="Times New Roman" w:hAnsi="Times New Roman" w:cs="Times New Roman"/>
          <w:lang w:val="en-CA"/>
        </w:rPr>
        <w:t>u</w:t>
      </w:r>
      <w:r w:rsidR="00320D46" w:rsidRPr="00CC5771">
        <w:rPr>
          <w:rFonts w:ascii="Times New Roman" w:hAnsi="Times New Roman" w:cs="Times New Roman"/>
          <w:lang w:val="en-CA"/>
        </w:rPr>
        <w:t>ral</w:t>
      </w:r>
      <w:r w:rsidR="00BF43BB" w:rsidRPr="00CC5771">
        <w:rPr>
          <w:rFonts w:ascii="Times New Roman" w:hAnsi="Times New Roman" w:cs="Times New Roman"/>
          <w:lang w:val="en-CA"/>
        </w:rPr>
        <w:t xml:space="preserve"> and/or cognitive state; may also refer to one</w:t>
      </w:r>
      <w:r w:rsidR="00912EC7">
        <w:rPr>
          <w:rFonts w:ascii="Times New Roman" w:hAnsi="Times New Roman" w:cs="Times New Roman"/>
          <w:lang w:val="en-CA"/>
        </w:rPr>
        <w:t>’</w:t>
      </w:r>
      <w:r w:rsidR="00BF43BB" w:rsidRPr="00CC5771">
        <w:rPr>
          <w:rFonts w:ascii="Times New Roman" w:hAnsi="Times New Roman" w:cs="Times New Roman"/>
          <w:lang w:val="en-CA"/>
        </w:rPr>
        <w:t>s intrinsic sense of manhood or womanhood. It is fundamentally different from, and not determinative of, sexual orientation.”</w:t>
      </w:r>
      <w:r w:rsidR="006A301D" w:rsidRPr="00CC5771">
        <w:rPr>
          <w:rStyle w:val="FootnoteReference"/>
          <w:rFonts w:ascii="Times New Roman" w:hAnsi="Times New Roman" w:cs="Times New Roman"/>
          <w:lang w:val="en-CA"/>
        </w:rPr>
        <w:footnoteReference w:id="88"/>
      </w:r>
      <w:r w:rsidR="00320D46" w:rsidRPr="00CC5771">
        <w:rPr>
          <w:rFonts w:ascii="Times New Roman" w:hAnsi="Times New Roman" w:cs="Times New Roman"/>
          <w:lang w:val="en-CA"/>
        </w:rPr>
        <w:t xml:space="preserve"> </w:t>
      </w:r>
      <w:r w:rsidR="006A301D" w:rsidRPr="00CC5771">
        <w:rPr>
          <w:rFonts w:ascii="Times New Roman" w:hAnsi="Times New Roman" w:cs="Times New Roman"/>
          <w:lang w:val="en-CA"/>
        </w:rPr>
        <w:t xml:space="preserve">While this definition bears little resemblance to the one offered by the OHRC, it suggests that the category </w:t>
      </w:r>
      <w:r w:rsidR="006A301D" w:rsidRPr="00CC5771">
        <w:rPr>
          <w:rFonts w:ascii="Times New Roman" w:hAnsi="Times New Roman" w:cs="Times New Roman"/>
          <w:lang w:val="en-CA"/>
        </w:rPr>
        <w:lastRenderedPageBreak/>
        <w:t xml:space="preserve">is capable of capturing a broad array of ways </w:t>
      </w:r>
      <w:r w:rsidR="00D577C6" w:rsidRPr="00CC5771">
        <w:rPr>
          <w:rFonts w:ascii="Times New Roman" w:hAnsi="Times New Roman" w:cs="Times New Roman"/>
          <w:lang w:val="en-CA"/>
        </w:rPr>
        <w:t xml:space="preserve">in which students and adults in schools are </w:t>
      </w:r>
      <w:r w:rsidR="008A342B" w:rsidRPr="00CC5771">
        <w:rPr>
          <w:rFonts w:ascii="Times New Roman" w:hAnsi="Times New Roman" w:cs="Times New Roman"/>
          <w:lang w:val="en-CA"/>
        </w:rPr>
        <w:t>engaged in doing</w:t>
      </w:r>
      <w:r w:rsidR="001D0484" w:rsidRPr="00CC5771">
        <w:rPr>
          <w:rFonts w:ascii="Times New Roman" w:hAnsi="Times New Roman" w:cs="Times New Roman"/>
          <w:lang w:val="en-CA"/>
        </w:rPr>
        <w:t xml:space="preserve"> </w:t>
      </w:r>
      <w:r w:rsidR="006A301D" w:rsidRPr="00CC5771">
        <w:rPr>
          <w:rFonts w:ascii="Times New Roman" w:hAnsi="Times New Roman" w:cs="Times New Roman"/>
          <w:lang w:val="en-CA"/>
        </w:rPr>
        <w:t xml:space="preserve">gender. </w:t>
      </w:r>
    </w:p>
    <w:p w14:paraId="7D4745B2" w14:textId="6DA887CA" w:rsidR="006A301D" w:rsidRPr="00CC5771" w:rsidRDefault="00BF43BB"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 xml:space="preserve">While the Tribunal in </w:t>
      </w:r>
      <w:r w:rsidRPr="00CC5771">
        <w:rPr>
          <w:rFonts w:ascii="Times New Roman" w:hAnsi="Times New Roman" w:cs="Times New Roman"/>
          <w:i/>
          <w:lang w:val="en-CA"/>
        </w:rPr>
        <w:t>Browne</w:t>
      </w:r>
      <w:r w:rsidRPr="00CC5771">
        <w:rPr>
          <w:rFonts w:ascii="Times New Roman" w:hAnsi="Times New Roman" w:cs="Times New Roman"/>
          <w:lang w:val="en-CA"/>
        </w:rPr>
        <w:t xml:space="preserve"> and </w:t>
      </w:r>
      <w:r w:rsidRPr="00CC5771">
        <w:rPr>
          <w:rFonts w:ascii="Times New Roman" w:hAnsi="Times New Roman" w:cs="Times New Roman"/>
          <w:i/>
          <w:lang w:val="en-CA"/>
        </w:rPr>
        <w:t>Barksey</w:t>
      </w:r>
      <w:r w:rsidRPr="00CC5771">
        <w:rPr>
          <w:rFonts w:ascii="Times New Roman" w:hAnsi="Times New Roman" w:cs="Times New Roman"/>
          <w:lang w:val="en-CA"/>
        </w:rPr>
        <w:t xml:space="preserve"> attempts to contain “gender identity”</w:t>
      </w:r>
      <w:r w:rsidR="002533E4" w:rsidRPr="00CC5771">
        <w:rPr>
          <w:rFonts w:ascii="Times New Roman" w:hAnsi="Times New Roman" w:cs="Times New Roman"/>
          <w:lang w:val="en-CA"/>
        </w:rPr>
        <w:t xml:space="preserve"> so as</w:t>
      </w:r>
      <w:r w:rsidRPr="00CC5771">
        <w:rPr>
          <w:rFonts w:ascii="Times New Roman" w:hAnsi="Times New Roman" w:cs="Times New Roman"/>
          <w:lang w:val="en-CA"/>
        </w:rPr>
        <w:t xml:space="preserve"> to not include cisgender people</w:t>
      </w:r>
      <w:r w:rsidR="006A301D" w:rsidRPr="00CC5771">
        <w:rPr>
          <w:rFonts w:ascii="Times New Roman" w:hAnsi="Times New Roman" w:cs="Times New Roman"/>
          <w:lang w:val="en-CA"/>
        </w:rPr>
        <w:t xml:space="preserve"> based on the “abundantly clear” legislative record</w:t>
      </w:r>
      <w:r w:rsidRPr="00CC5771">
        <w:rPr>
          <w:rFonts w:ascii="Times New Roman" w:hAnsi="Times New Roman" w:cs="Times New Roman"/>
          <w:lang w:val="en-CA"/>
        </w:rPr>
        <w:t>,</w:t>
      </w:r>
      <w:r w:rsidR="006A301D" w:rsidRPr="00CC5771">
        <w:rPr>
          <w:rStyle w:val="FootnoteReference"/>
          <w:rFonts w:ascii="Times New Roman" w:hAnsi="Times New Roman" w:cs="Times New Roman"/>
          <w:lang w:val="en-CA"/>
        </w:rPr>
        <w:footnoteReference w:id="89"/>
      </w:r>
      <w:r w:rsidRPr="00CC5771">
        <w:rPr>
          <w:rFonts w:ascii="Times New Roman" w:hAnsi="Times New Roman" w:cs="Times New Roman"/>
          <w:lang w:val="en-CA"/>
        </w:rPr>
        <w:t xml:space="preserve"> there is no suggestion in any of </w:t>
      </w:r>
      <w:r w:rsidR="00C507E4" w:rsidRPr="00CC5771">
        <w:rPr>
          <w:rFonts w:ascii="Times New Roman" w:hAnsi="Times New Roman" w:cs="Times New Roman"/>
          <w:lang w:val="en-CA"/>
        </w:rPr>
        <w:t xml:space="preserve">these </w:t>
      </w:r>
      <w:r w:rsidR="00CE5F2F">
        <w:rPr>
          <w:rFonts w:ascii="Times New Roman" w:hAnsi="Times New Roman" w:cs="Times New Roman"/>
          <w:lang w:val="en-CA"/>
        </w:rPr>
        <w:t>forty-one</w:t>
      </w:r>
      <w:r w:rsidR="00CE5F2F" w:rsidRPr="00CC5771">
        <w:rPr>
          <w:rFonts w:ascii="Times New Roman" w:hAnsi="Times New Roman" w:cs="Times New Roman"/>
          <w:lang w:val="en-CA"/>
        </w:rPr>
        <w:t xml:space="preserve"> </w:t>
      </w:r>
      <w:r w:rsidRPr="00CC5771">
        <w:rPr>
          <w:rFonts w:ascii="Times New Roman" w:hAnsi="Times New Roman" w:cs="Times New Roman"/>
          <w:lang w:val="en-CA"/>
        </w:rPr>
        <w:t>explicit definitions of “gender identity” or “gender expression” that these terms ought to be construed in such a limited fashion. This disjuncture</w:t>
      </w:r>
      <w:r w:rsidR="00531C0C" w:rsidRPr="00CC5771">
        <w:rPr>
          <w:rFonts w:ascii="Times New Roman" w:hAnsi="Times New Roman" w:cs="Times New Roman"/>
          <w:lang w:val="en-CA"/>
        </w:rPr>
        <w:t>, we suggest,</w:t>
      </w:r>
      <w:r w:rsidRPr="00CC5771">
        <w:rPr>
          <w:rFonts w:ascii="Times New Roman" w:hAnsi="Times New Roman" w:cs="Times New Roman"/>
          <w:lang w:val="en-CA"/>
        </w:rPr>
        <w:t xml:space="preserve"> underscores the need to </w:t>
      </w:r>
      <w:r w:rsidR="008A342B" w:rsidRPr="00CC5771">
        <w:rPr>
          <w:rFonts w:ascii="Times New Roman" w:hAnsi="Times New Roman" w:cs="Times New Roman"/>
          <w:lang w:val="en-CA"/>
        </w:rPr>
        <w:t>attend to sites beyond courts and tribunals in an effort to better understand the</w:t>
      </w:r>
      <w:r w:rsidR="00254E8B" w:rsidRPr="00CC5771">
        <w:rPr>
          <w:rFonts w:ascii="Times New Roman" w:hAnsi="Times New Roman" w:cs="Times New Roman"/>
          <w:lang w:val="en-CA"/>
        </w:rPr>
        <w:t xml:space="preserve"> </w:t>
      </w:r>
      <w:r w:rsidR="00987C57" w:rsidRPr="00CC5771">
        <w:rPr>
          <w:rFonts w:ascii="Times New Roman" w:hAnsi="Times New Roman" w:cs="Times New Roman"/>
          <w:lang w:val="en-CA"/>
        </w:rPr>
        <w:t>plural, contradictory meaning of these terms.</w:t>
      </w:r>
      <w:r w:rsidR="000D72A4">
        <w:rPr>
          <w:rFonts w:ascii="Times New Roman" w:hAnsi="Times New Roman" w:cs="Times New Roman"/>
          <w:lang w:val="en-CA"/>
        </w:rPr>
        <w:t xml:space="preserve"> </w:t>
      </w:r>
    </w:p>
    <w:p w14:paraId="6FCDC7AD" w14:textId="4DB65DB4" w:rsidR="009432AF" w:rsidRPr="00CC5771" w:rsidRDefault="00CE5F2F" w:rsidP="004D0F4E">
      <w:pPr>
        <w:spacing w:after="240" w:line="480" w:lineRule="auto"/>
        <w:rPr>
          <w:rFonts w:ascii="Times New Roman" w:hAnsi="Times New Roman" w:cs="Times New Roman"/>
          <w:b/>
          <w:lang w:val="en-CA"/>
        </w:rPr>
      </w:pPr>
      <w:r w:rsidRPr="00CC5771">
        <w:rPr>
          <w:rFonts w:ascii="Times New Roman" w:hAnsi="Times New Roman" w:cs="Times New Roman"/>
          <w:b/>
          <w:lang w:val="en-CA"/>
        </w:rPr>
        <w:t>Conclusion: The Aftermath of Human Rights Protections</w:t>
      </w:r>
    </w:p>
    <w:p w14:paraId="2B775934" w14:textId="180BBEFC" w:rsidR="00987C57" w:rsidRPr="00CC5771" w:rsidRDefault="00643003"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By</w:t>
      </w:r>
      <w:r w:rsidR="00C25329" w:rsidRPr="00CC5771">
        <w:rPr>
          <w:rFonts w:ascii="Times New Roman" w:hAnsi="Times New Roman" w:cs="Times New Roman"/>
          <w:lang w:val="en-CA"/>
        </w:rPr>
        <w:t xml:space="preserve"> studying</w:t>
      </w:r>
      <w:r w:rsidR="001C262F" w:rsidRPr="00CC5771">
        <w:rPr>
          <w:rFonts w:ascii="Times New Roman" w:hAnsi="Times New Roman" w:cs="Times New Roman"/>
          <w:lang w:val="en-CA"/>
        </w:rPr>
        <w:t xml:space="preserve"> the development of policies by Ontario</w:t>
      </w:r>
      <w:r w:rsidR="00912EC7">
        <w:rPr>
          <w:rFonts w:ascii="Times New Roman" w:hAnsi="Times New Roman" w:cs="Times New Roman"/>
          <w:lang w:val="en-CA"/>
        </w:rPr>
        <w:t>’</w:t>
      </w:r>
      <w:r w:rsidR="001C262F" w:rsidRPr="00CC5771">
        <w:rPr>
          <w:rFonts w:ascii="Times New Roman" w:hAnsi="Times New Roman" w:cs="Times New Roman"/>
          <w:lang w:val="en-CA"/>
        </w:rPr>
        <w:t xml:space="preserve">s English-language public secular school boards in the aftermath of </w:t>
      </w:r>
      <w:r w:rsidR="001C262F" w:rsidRPr="00CC5771">
        <w:rPr>
          <w:rFonts w:ascii="Times New Roman" w:hAnsi="Times New Roman" w:cs="Times New Roman"/>
          <w:i/>
          <w:lang w:val="en-CA"/>
        </w:rPr>
        <w:t>Toby</w:t>
      </w:r>
      <w:r w:rsidR="00912EC7">
        <w:rPr>
          <w:rFonts w:ascii="Times New Roman" w:hAnsi="Times New Roman" w:cs="Times New Roman"/>
          <w:i/>
          <w:lang w:val="en-CA"/>
        </w:rPr>
        <w:t>’</w:t>
      </w:r>
      <w:r w:rsidR="001C262F" w:rsidRPr="00CC5771">
        <w:rPr>
          <w:rFonts w:ascii="Times New Roman" w:hAnsi="Times New Roman" w:cs="Times New Roman"/>
          <w:i/>
          <w:lang w:val="en-CA"/>
        </w:rPr>
        <w:t>s Act</w:t>
      </w:r>
      <w:r w:rsidR="001C262F" w:rsidRPr="00CC5771">
        <w:rPr>
          <w:rFonts w:ascii="Times New Roman" w:hAnsi="Times New Roman" w:cs="Times New Roman"/>
          <w:lang w:val="en-CA"/>
        </w:rPr>
        <w:t xml:space="preserve"> in 2012, we have sought to trace the emergence of parallel norm-making in the education context. In doing so, we have argued that our collective understanding of the efficacy of adding terms such as “gender identity” and “gender expression” to law as a means of opening space for people to be able to live free from discrimination </w:t>
      </w:r>
      <w:r w:rsidR="00987C57" w:rsidRPr="00CC5771">
        <w:rPr>
          <w:rFonts w:ascii="Times New Roman" w:hAnsi="Times New Roman" w:cs="Times New Roman"/>
          <w:lang w:val="en-CA"/>
        </w:rPr>
        <w:t>may be</w:t>
      </w:r>
      <w:r w:rsidR="001C262F" w:rsidRPr="00CC5771">
        <w:rPr>
          <w:rFonts w:ascii="Times New Roman" w:hAnsi="Times New Roman" w:cs="Times New Roman"/>
          <w:lang w:val="en-CA"/>
        </w:rPr>
        <w:t xml:space="preserve"> limited when we overemphasize </w:t>
      </w:r>
      <w:r w:rsidR="007F61CD">
        <w:rPr>
          <w:rFonts w:ascii="Times New Roman" w:hAnsi="Times New Roman" w:cs="Times New Roman"/>
          <w:lang w:val="en-CA"/>
        </w:rPr>
        <w:t>the decisions of courts and tribunals</w:t>
      </w:r>
      <w:r w:rsidR="001C262F" w:rsidRPr="00CC5771">
        <w:rPr>
          <w:rFonts w:ascii="Times New Roman" w:hAnsi="Times New Roman" w:cs="Times New Roman"/>
          <w:lang w:val="en-CA"/>
        </w:rPr>
        <w:t xml:space="preserve"> in our analyses. Human rights legislation shapes norms and practices in ways that extend</w:t>
      </w:r>
      <w:r w:rsidR="00FB73C7" w:rsidRPr="00CC5771">
        <w:rPr>
          <w:rFonts w:ascii="Times New Roman" w:hAnsi="Times New Roman" w:cs="Times New Roman"/>
          <w:lang w:val="en-CA"/>
        </w:rPr>
        <w:t xml:space="preserve"> far</w:t>
      </w:r>
      <w:r w:rsidR="001C262F" w:rsidRPr="00CC5771">
        <w:rPr>
          <w:rFonts w:ascii="Times New Roman" w:hAnsi="Times New Roman" w:cs="Times New Roman"/>
          <w:lang w:val="en-CA"/>
        </w:rPr>
        <w:t xml:space="preserve"> beyond these decisions, such that studies of the utility of “gender identity” and “gender expression” </w:t>
      </w:r>
      <w:r w:rsidR="00C25329" w:rsidRPr="00CC5771">
        <w:rPr>
          <w:rFonts w:ascii="Times New Roman" w:hAnsi="Times New Roman" w:cs="Times New Roman"/>
          <w:lang w:val="en-CA"/>
        </w:rPr>
        <w:t xml:space="preserve">law reform efforts </w:t>
      </w:r>
      <w:r w:rsidR="001C262F" w:rsidRPr="00CC5771">
        <w:rPr>
          <w:rFonts w:ascii="Times New Roman" w:hAnsi="Times New Roman" w:cs="Times New Roman"/>
          <w:lang w:val="en-CA"/>
        </w:rPr>
        <w:t xml:space="preserve">ought to </w:t>
      </w:r>
      <w:r w:rsidR="00987C57" w:rsidRPr="00CC5771">
        <w:rPr>
          <w:rFonts w:ascii="Times New Roman" w:hAnsi="Times New Roman" w:cs="Times New Roman"/>
          <w:lang w:val="en-CA"/>
        </w:rPr>
        <w:t xml:space="preserve">consider </w:t>
      </w:r>
      <w:r w:rsidR="005F4A4A" w:rsidRPr="00CC5771">
        <w:rPr>
          <w:rFonts w:ascii="Times New Roman" w:hAnsi="Times New Roman" w:cs="Times New Roman"/>
          <w:lang w:val="en-CA"/>
        </w:rPr>
        <w:t>analyzing a</w:t>
      </w:r>
      <w:r w:rsidR="001C262F" w:rsidRPr="00CC5771">
        <w:rPr>
          <w:rFonts w:ascii="Times New Roman" w:hAnsi="Times New Roman" w:cs="Times New Roman"/>
          <w:lang w:val="en-CA"/>
        </w:rPr>
        <w:t xml:space="preserve"> broad</w:t>
      </w:r>
      <w:r w:rsidR="00C25329" w:rsidRPr="00CC5771">
        <w:rPr>
          <w:rFonts w:ascii="Times New Roman" w:hAnsi="Times New Roman" w:cs="Times New Roman"/>
          <w:lang w:val="en-CA"/>
        </w:rPr>
        <w:t>er</w:t>
      </w:r>
      <w:r w:rsidR="001C262F" w:rsidRPr="00CC5771">
        <w:rPr>
          <w:rFonts w:ascii="Times New Roman" w:hAnsi="Times New Roman" w:cs="Times New Roman"/>
          <w:lang w:val="en-CA"/>
        </w:rPr>
        <w:t xml:space="preserve"> set of constitutive actors. </w:t>
      </w:r>
    </w:p>
    <w:p w14:paraId="320F2861" w14:textId="20A93C5B" w:rsidR="002B761F" w:rsidRPr="00CC5771" w:rsidRDefault="0065027C"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At the same time</w:t>
      </w:r>
      <w:r w:rsidR="001C262F" w:rsidRPr="00CC5771">
        <w:rPr>
          <w:rFonts w:ascii="Times New Roman" w:hAnsi="Times New Roman" w:cs="Times New Roman"/>
          <w:lang w:val="en-CA"/>
        </w:rPr>
        <w:t xml:space="preserve">, </w:t>
      </w:r>
      <w:r w:rsidR="00E43B33" w:rsidRPr="00CC5771">
        <w:rPr>
          <w:rFonts w:ascii="Times New Roman" w:hAnsi="Times New Roman" w:cs="Times New Roman"/>
          <w:lang w:val="en-CA"/>
        </w:rPr>
        <w:t>we admit that our</w:t>
      </w:r>
      <w:r w:rsidR="001C262F" w:rsidRPr="00CC5771">
        <w:rPr>
          <w:rFonts w:ascii="Times New Roman" w:hAnsi="Times New Roman" w:cs="Times New Roman"/>
          <w:lang w:val="en-CA"/>
        </w:rPr>
        <w:t xml:space="preserve"> analysis of the creation of post-</w:t>
      </w:r>
      <w:r w:rsidR="001C262F" w:rsidRPr="00CC5771">
        <w:rPr>
          <w:rFonts w:ascii="Times New Roman" w:hAnsi="Times New Roman" w:cs="Times New Roman"/>
          <w:i/>
          <w:iCs/>
          <w:lang w:val="en-CA"/>
        </w:rPr>
        <w:t>Toby</w:t>
      </w:r>
      <w:r w:rsidR="00912EC7">
        <w:rPr>
          <w:rFonts w:ascii="Times New Roman" w:hAnsi="Times New Roman" w:cs="Times New Roman"/>
          <w:i/>
          <w:iCs/>
          <w:lang w:val="en-CA"/>
        </w:rPr>
        <w:t>’</w:t>
      </w:r>
      <w:r w:rsidR="001C262F" w:rsidRPr="00CC5771">
        <w:rPr>
          <w:rFonts w:ascii="Times New Roman" w:hAnsi="Times New Roman" w:cs="Times New Roman"/>
          <w:i/>
          <w:iCs/>
          <w:lang w:val="en-CA"/>
        </w:rPr>
        <w:t>s Act</w:t>
      </w:r>
      <w:r w:rsidR="001C262F" w:rsidRPr="00CC5771">
        <w:rPr>
          <w:rFonts w:ascii="Times New Roman" w:hAnsi="Times New Roman" w:cs="Times New Roman"/>
          <w:lang w:val="en-CA"/>
        </w:rPr>
        <w:t xml:space="preserve"> education policies tells us little about who was included, and who might have been left out, of both policy design </w:t>
      </w:r>
      <w:r w:rsidR="001C262F" w:rsidRPr="00CC5771">
        <w:rPr>
          <w:rFonts w:ascii="Times New Roman" w:hAnsi="Times New Roman" w:cs="Times New Roman"/>
          <w:lang w:val="en-CA"/>
        </w:rPr>
        <w:lastRenderedPageBreak/>
        <w:t xml:space="preserve">and </w:t>
      </w:r>
      <w:r w:rsidR="002B761F" w:rsidRPr="00CC5771">
        <w:rPr>
          <w:rFonts w:ascii="Times New Roman" w:hAnsi="Times New Roman" w:cs="Times New Roman"/>
          <w:lang w:val="en-CA"/>
        </w:rPr>
        <w:t xml:space="preserve">ongoing </w:t>
      </w:r>
      <w:r w:rsidR="001C262F" w:rsidRPr="00CC5771">
        <w:rPr>
          <w:rFonts w:ascii="Times New Roman" w:hAnsi="Times New Roman" w:cs="Times New Roman"/>
          <w:lang w:val="en-CA"/>
        </w:rPr>
        <w:t xml:space="preserve">implementation processes. Moreover, studying these policies </w:t>
      </w:r>
      <w:r w:rsidR="00E43B33" w:rsidRPr="00CC5771">
        <w:rPr>
          <w:rFonts w:ascii="Times New Roman" w:hAnsi="Times New Roman" w:cs="Times New Roman"/>
          <w:lang w:val="en-CA"/>
        </w:rPr>
        <w:t>does not tell us</w:t>
      </w:r>
      <w:r w:rsidR="001C262F" w:rsidRPr="00CC5771">
        <w:rPr>
          <w:rFonts w:ascii="Times New Roman" w:hAnsi="Times New Roman" w:cs="Times New Roman"/>
          <w:lang w:val="en-CA"/>
        </w:rPr>
        <w:t xml:space="preserve"> who might continue to be left at the margins of transgender and/or non-binary legal change, particularly in an era when we have witnessed a series of </w:t>
      </w:r>
      <w:r w:rsidR="002B761F" w:rsidRPr="00CC5771">
        <w:rPr>
          <w:rFonts w:ascii="Times New Roman" w:hAnsi="Times New Roman" w:cs="Times New Roman"/>
          <w:lang w:val="en-CA"/>
        </w:rPr>
        <w:t xml:space="preserve">regressive gender and sexuality interventions, including </w:t>
      </w:r>
      <w:r w:rsidR="00FB73C7" w:rsidRPr="00CC5771">
        <w:rPr>
          <w:rFonts w:ascii="Times New Roman" w:hAnsi="Times New Roman" w:cs="Times New Roman"/>
          <w:lang w:val="en-CA"/>
        </w:rPr>
        <w:t>changes</w:t>
      </w:r>
      <w:r w:rsidR="001C262F" w:rsidRPr="00CC5771">
        <w:rPr>
          <w:rFonts w:ascii="Times New Roman" w:hAnsi="Times New Roman" w:cs="Times New Roman"/>
          <w:lang w:val="en-CA"/>
        </w:rPr>
        <w:t xml:space="preserve"> to the provision of </w:t>
      </w:r>
      <w:r w:rsidR="002B761F" w:rsidRPr="00CC5771">
        <w:rPr>
          <w:rFonts w:ascii="Times New Roman" w:hAnsi="Times New Roman" w:cs="Times New Roman"/>
          <w:lang w:val="en-CA"/>
        </w:rPr>
        <w:t>sexual</w:t>
      </w:r>
      <w:r w:rsidR="001C262F" w:rsidRPr="00CC5771">
        <w:rPr>
          <w:rFonts w:ascii="Times New Roman" w:hAnsi="Times New Roman" w:cs="Times New Roman"/>
          <w:lang w:val="en-CA"/>
        </w:rPr>
        <w:t xml:space="preserve"> education.</w:t>
      </w:r>
      <w:r w:rsidR="001C262F" w:rsidRPr="00CC5771">
        <w:rPr>
          <w:rStyle w:val="FootnoteReference"/>
          <w:rFonts w:ascii="Times New Roman" w:hAnsi="Times New Roman" w:cs="Times New Roman"/>
          <w:lang w:val="en-CA"/>
        </w:rPr>
        <w:footnoteReference w:id="90"/>
      </w:r>
      <w:r w:rsidR="001C262F" w:rsidRPr="00CC5771">
        <w:rPr>
          <w:rFonts w:ascii="Times New Roman" w:hAnsi="Times New Roman" w:cs="Times New Roman"/>
          <w:lang w:val="en-CA"/>
        </w:rPr>
        <w:t xml:space="preserve"> </w:t>
      </w:r>
    </w:p>
    <w:p w14:paraId="6F1E5375" w14:textId="613542ED" w:rsidR="001C262F" w:rsidRPr="00CC5771" w:rsidRDefault="001C262F"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 xml:space="preserve">While the pervasive levels of discrimination, harassment, and violence experienced by transgender and/or non-binary people </w:t>
      </w:r>
      <w:r w:rsidR="00987C57" w:rsidRPr="00CC5771">
        <w:rPr>
          <w:rFonts w:ascii="Times New Roman" w:hAnsi="Times New Roman" w:cs="Times New Roman"/>
          <w:lang w:val="en-CA"/>
        </w:rPr>
        <w:t>may</w:t>
      </w:r>
      <w:r w:rsidRPr="00CC5771">
        <w:rPr>
          <w:rFonts w:ascii="Times New Roman" w:hAnsi="Times New Roman" w:cs="Times New Roman"/>
          <w:lang w:val="en-CA"/>
        </w:rPr>
        <w:t xml:space="preserve"> surface </w:t>
      </w:r>
      <w:r w:rsidR="00E43B33" w:rsidRPr="00CC5771">
        <w:rPr>
          <w:rFonts w:ascii="Times New Roman" w:hAnsi="Times New Roman" w:cs="Times New Roman"/>
          <w:lang w:val="en-CA"/>
        </w:rPr>
        <w:t>in</w:t>
      </w:r>
      <w:r w:rsidR="00987C57" w:rsidRPr="00CC5771">
        <w:rPr>
          <w:rFonts w:ascii="Times New Roman" w:hAnsi="Times New Roman" w:cs="Times New Roman"/>
          <w:lang w:val="en-CA"/>
        </w:rPr>
        <w:t xml:space="preserve"> a relatively small number of </w:t>
      </w:r>
      <w:r w:rsidR="00E43B33" w:rsidRPr="00CC5771">
        <w:rPr>
          <w:rFonts w:ascii="Times New Roman" w:hAnsi="Times New Roman" w:cs="Times New Roman"/>
          <w:lang w:val="en-CA"/>
        </w:rPr>
        <w:t>decisions rendered by courts and tribunals</w:t>
      </w:r>
      <w:r w:rsidRPr="00CC5771">
        <w:rPr>
          <w:rFonts w:ascii="Times New Roman" w:hAnsi="Times New Roman" w:cs="Times New Roman"/>
          <w:lang w:val="en-CA"/>
        </w:rPr>
        <w:t xml:space="preserve">, </w:t>
      </w:r>
      <w:r w:rsidR="0065027C" w:rsidRPr="00CC5771">
        <w:rPr>
          <w:rFonts w:ascii="Times New Roman" w:hAnsi="Times New Roman" w:cs="Times New Roman"/>
          <w:lang w:val="en-CA"/>
        </w:rPr>
        <w:t xml:space="preserve">our claim in this paper is that </w:t>
      </w:r>
      <w:r w:rsidRPr="00CC5771">
        <w:rPr>
          <w:rFonts w:ascii="Times New Roman" w:hAnsi="Times New Roman" w:cs="Times New Roman"/>
          <w:lang w:val="en-CA"/>
        </w:rPr>
        <w:t xml:space="preserve">attending to </w:t>
      </w:r>
      <w:r w:rsidR="0065027C" w:rsidRPr="00CC5771">
        <w:rPr>
          <w:rFonts w:ascii="Times New Roman" w:hAnsi="Times New Roman" w:cs="Times New Roman"/>
          <w:lang w:val="en-CA"/>
        </w:rPr>
        <w:t>sites</w:t>
      </w:r>
      <w:r w:rsidR="001320A6" w:rsidRPr="00CC5771">
        <w:rPr>
          <w:rFonts w:ascii="Times New Roman" w:hAnsi="Times New Roman" w:cs="Times New Roman"/>
          <w:lang w:val="en-CA"/>
        </w:rPr>
        <w:t xml:space="preserve"> such as school boards might</w:t>
      </w:r>
      <w:r w:rsidRPr="00CC5771">
        <w:rPr>
          <w:rFonts w:ascii="Times New Roman" w:hAnsi="Times New Roman" w:cs="Times New Roman"/>
          <w:lang w:val="en-CA"/>
        </w:rPr>
        <w:t xml:space="preserve"> allow us to think about the aftermath of </w:t>
      </w:r>
      <w:r w:rsidR="001320A6" w:rsidRPr="00CC5771">
        <w:rPr>
          <w:rFonts w:ascii="Times New Roman" w:hAnsi="Times New Roman" w:cs="Times New Roman"/>
          <w:lang w:val="en-CA"/>
        </w:rPr>
        <w:t>human rights law reforms in new</w:t>
      </w:r>
      <w:r w:rsidR="0065027C" w:rsidRPr="00CC5771">
        <w:rPr>
          <w:rFonts w:ascii="Times New Roman" w:hAnsi="Times New Roman" w:cs="Times New Roman"/>
          <w:lang w:val="en-CA"/>
        </w:rPr>
        <w:t xml:space="preserve"> </w:t>
      </w:r>
      <w:r w:rsidR="001320A6" w:rsidRPr="00CC5771">
        <w:rPr>
          <w:rFonts w:ascii="Times New Roman" w:hAnsi="Times New Roman" w:cs="Times New Roman"/>
          <w:lang w:val="en-CA"/>
        </w:rPr>
        <w:t xml:space="preserve">ways. </w:t>
      </w:r>
      <w:r w:rsidR="00987C57" w:rsidRPr="00CC5771">
        <w:rPr>
          <w:rFonts w:ascii="Times New Roman" w:hAnsi="Times New Roman" w:cs="Times New Roman"/>
          <w:lang w:val="en-CA"/>
        </w:rPr>
        <w:t xml:space="preserve">As our empirical study suggests, </w:t>
      </w:r>
      <w:r w:rsidR="00583ECC" w:rsidRPr="00CC5771">
        <w:rPr>
          <w:rFonts w:ascii="Times New Roman" w:hAnsi="Times New Roman" w:cs="Times New Roman"/>
          <w:lang w:val="en-CA"/>
        </w:rPr>
        <w:t xml:space="preserve">adding “gender identity” and “gender expression” to human rights </w:t>
      </w:r>
      <w:r w:rsidR="000151F6" w:rsidRPr="00CC5771">
        <w:rPr>
          <w:rFonts w:ascii="Times New Roman" w:hAnsi="Times New Roman" w:cs="Times New Roman"/>
          <w:lang w:val="en-CA"/>
        </w:rPr>
        <w:t>laws</w:t>
      </w:r>
      <w:r w:rsidR="00987C57" w:rsidRPr="00CC5771">
        <w:rPr>
          <w:rFonts w:ascii="Times New Roman" w:hAnsi="Times New Roman" w:cs="Times New Roman"/>
          <w:lang w:val="en-CA"/>
        </w:rPr>
        <w:t xml:space="preserve"> </w:t>
      </w:r>
      <w:r w:rsidR="00583ECC" w:rsidRPr="00CC5771">
        <w:rPr>
          <w:rFonts w:ascii="Times New Roman" w:hAnsi="Times New Roman" w:cs="Times New Roman"/>
          <w:lang w:val="en-CA"/>
        </w:rPr>
        <w:t xml:space="preserve">may </w:t>
      </w:r>
      <w:r w:rsidR="00E43B33" w:rsidRPr="00CC5771">
        <w:rPr>
          <w:rFonts w:ascii="Times New Roman" w:hAnsi="Times New Roman" w:cs="Times New Roman"/>
          <w:lang w:val="en-CA"/>
        </w:rPr>
        <w:t>constitute</w:t>
      </w:r>
      <w:r w:rsidR="00583ECC" w:rsidRPr="00CC5771">
        <w:rPr>
          <w:rFonts w:ascii="Times New Roman" w:hAnsi="Times New Roman" w:cs="Times New Roman"/>
          <w:lang w:val="en-CA"/>
        </w:rPr>
        <w:t xml:space="preserve"> </w:t>
      </w:r>
      <w:r w:rsidR="00FC3FA9" w:rsidRPr="00CC5771">
        <w:rPr>
          <w:rFonts w:ascii="Times New Roman" w:hAnsi="Times New Roman" w:cs="Times New Roman"/>
          <w:lang w:val="en-CA"/>
        </w:rPr>
        <w:t xml:space="preserve">more </w:t>
      </w:r>
      <w:r w:rsidR="00583ECC" w:rsidRPr="00CC5771">
        <w:rPr>
          <w:rFonts w:ascii="Times New Roman" w:hAnsi="Times New Roman" w:cs="Times New Roman"/>
          <w:lang w:val="en-CA"/>
        </w:rPr>
        <w:t xml:space="preserve">than </w:t>
      </w:r>
      <w:r w:rsidR="00FC3FA9" w:rsidRPr="00CC5771">
        <w:rPr>
          <w:rFonts w:ascii="Times New Roman" w:hAnsi="Times New Roman" w:cs="Times New Roman"/>
          <w:lang w:val="en-CA"/>
        </w:rPr>
        <w:t xml:space="preserve">an </w:t>
      </w:r>
      <w:r w:rsidR="00987C57" w:rsidRPr="00CC5771">
        <w:rPr>
          <w:rFonts w:ascii="Times New Roman" w:hAnsi="Times New Roman" w:cs="Times New Roman"/>
          <w:lang w:val="en-CA"/>
        </w:rPr>
        <w:t>empty symbolic gesture</w:t>
      </w:r>
      <w:r w:rsidR="000641DD">
        <w:rPr>
          <w:rFonts w:ascii="Times New Roman" w:hAnsi="Times New Roman" w:cs="Times New Roman"/>
          <w:lang w:val="en-CA"/>
        </w:rPr>
        <w:t>—</w:t>
      </w:r>
      <w:r w:rsidR="007756A3" w:rsidRPr="00CC5771">
        <w:rPr>
          <w:rFonts w:ascii="Times New Roman" w:hAnsi="Times New Roman" w:cs="Times New Roman"/>
          <w:lang w:val="en-CA"/>
        </w:rPr>
        <w:t>law reform</w:t>
      </w:r>
      <w:r w:rsidR="002D2D83" w:rsidRPr="00CC5771">
        <w:rPr>
          <w:rFonts w:ascii="Times New Roman" w:hAnsi="Times New Roman" w:cs="Times New Roman"/>
          <w:lang w:val="en-CA"/>
        </w:rPr>
        <w:t>s</w:t>
      </w:r>
      <w:r w:rsidR="00583ECC" w:rsidRPr="00CC5771">
        <w:rPr>
          <w:rFonts w:ascii="Times New Roman" w:hAnsi="Times New Roman" w:cs="Times New Roman"/>
          <w:lang w:val="en-CA"/>
        </w:rPr>
        <w:t xml:space="preserve"> may</w:t>
      </w:r>
      <w:r w:rsidR="00987C57" w:rsidRPr="00CC5771">
        <w:rPr>
          <w:rFonts w:ascii="Times New Roman" w:hAnsi="Times New Roman" w:cs="Times New Roman"/>
          <w:lang w:val="en-CA"/>
        </w:rPr>
        <w:t xml:space="preserve"> </w:t>
      </w:r>
      <w:r w:rsidR="0065027C" w:rsidRPr="00CC5771">
        <w:rPr>
          <w:rFonts w:ascii="Times New Roman" w:hAnsi="Times New Roman" w:cs="Times New Roman"/>
          <w:lang w:val="en-CA"/>
        </w:rPr>
        <w:t>hold the promise of</w:t>
      </w:r>
      <w:r w:rsidR="001320A6" w:rsidRPr="00CC5771">
        <w:rPr>
          <w:rFonts w:ascii="Times New Roman" w:hAnsi="Times New Roman" w:cs="Times New Roman"/>
          <w:lang w:val="en-CA"/>
        </w:rPr>
        <w:t xml:space="preserve"> open</w:t>
      </w:r>
      <w:r w:rsidR="0065027C" w:rsidRPr="00CC5771">
        <w:rPr>
          <w:rFonts w:ascii="Times New Roman" w:hAnsi="Times New Roman" w:cs="Times New Roman"/>
          <w:lang w:val="en-CA"/>
        </w:rPr>
        <w:t>ing</w:t>
      </w:r>
      <w:r w:rsidR="001320A6" w:rsidRPr="00CC5771">
        <w:rPr>
          <w:rFonts w:ascii="Times New Roman" w:hAnsi="Times New Roman" w:cs="Times New Roman"/>
          <w:lang w:val="en-CA"/>
        </w:rPr>
        <w:t xml:space="preserve"> up space for the emergence of norms that allow people to do gender in a variety of ways. </w:t>
      </w:r>
    </w:p>
    <w:p w14:paraId="3A9C36A3" w14:textId="15AA9407" w:rsidR="00D10993" w:rsidRPr="00CC5771" w:rsidRDefault="00D10993" w:rsidP="004D0F4E">
      <w:pPr>
        <w:spacing w:after="240" w:line="480" w:lineRule="auto"/>
        <w:rPr>
          <w:rFonts w:ascii="Times New Roman" w:hAnsi="Times New Roman" w:cs="Times New Roman"/>
          <w:lang w:val="en-CA"/>
        </w:rPr>
      </w:pPr>
      <w:r w:rsidRPr="00CC5771">
        <w:rPr>
          <w:rFonts w:ascii="Times New Roman" w:hAnsi="Times New Roman" w:cs="Times New Roman"/>
          <w:lang w:val="en-CA"/>
        </w:rPr>
        <w:t xml:space="preserve">Kyle Kirkup </w:t>
      </w:r>
      <w:r w:rsidRPr="00CC5771">
        <w:rPr>
          <w:rFonts w:ascii="Times New Roman" w:hAnsi="Times New Roman" w:cs="Times New Roman"/>
          <w:lang w:val="en-CA"/>
        </w:rPr>
        <w:br/>
        <w:t>University of Ottawa Faculty of Law (Common Law Section)</w:t>
      </w:r>
      <w:r w:rsidRPr="00CC5771">
        <w:rPr>
          <w:rFonts w:ascii="Times New Roman" w:hAnsi="Times New Roman" w:cs="Times New Roman"/>
          <w:lang w:val="en-CA"/>
        </w:rPr>
        <w:br/>
      </w:r>
      <w:hyperlink r:id="rId8" w:history="1">
        <w:r w:rsidR="00B077AD">
          <w:rPr>
            <w:rStyle w:val="Hyperlink"/>
            <w:rFonts w:ascii="Times New Roman" w:eastAsia="Times New Roman" w:hAnsi="Times New Roman" w:cs="Times New Roman"/>
            <w:lang w:val="en-CA"/>
          </w:rPr>
          <w:t>kyle.kirkup@uottawa.ca</w:t>
        </w:r>
      </w:hyperlink>
      <w:r w:rsidR="00B077AD">
        <w:rPr>
          <w:rStyle w:val="Hyperlink"/>
          <w:rFonts w:ascii="Times New Roman" w:eastAsia="Times New Roman" w:hAnsi="Times New Roman" w:cs="Times New Roman"/>
          <w:lang w:val="en-CA"/>
        </w:rPr>
        <w:t xml:space="preserve"> </w:t>
      </w:r>
    </w:p>
    <w:p w14:paraId="7549B143" w14:textId="72B857D5" w:rsidR="00D10993" w:rsidRPr="00CC5771" w:rsidRDefault="00D10993" w:rsidP="004D0F4E">
      <w:pPr>
        <w:spacing w:after="240" w:line="480" w:lineRule="auto"/>
        <w:rPr>
          <w:rFonts w:ascii="Times New Roman" w:hAnsi="Times New Roman" w:cs="Times New Roman"/>
          <w:color w:val="FF0000"/>
          <w:lang w:val="en-CA"/>
        </w:rPr>
      </w:pPr>
      <w:r w:rsidRPr="00CC5771">
        <w:rPr>
          <w:rFonts w:ascii="Times New Roman" w:hAnsi="Times New Roman" w:cs="Times New Roman"/>
          <w:lang w:val="en-CA"/>
        </w:rPr>
        <w:t>Lee Airton</w:t>
      </w:r>
      <w:r w:rsidRPr="00CC5771">
        <w:rPr>
          <w:rFonts w:ascii="Times New Roman" w:hAnsi="Times New Roman" w:cs="Times New Roman"/>
          <w:lang w:val="en-CA"/>
        </w:rPr>
        <w:br/>
        <w:t>Faculty of Education, Queen</w:t>
      </w:r>
      <w:r w:rsidR="00912EC7">
        <w:rPr>
          <w:rFonts w:ascii="Times New Roman" w:hAnsi="Times New Roman" w:cs="Times New Roman"/>
          <w:lang w:val="en-CA"/>
        </w:rPr>
        <w:t>’</w:t>
      </w:r>
      <w:r w:rsidRPr="00CC5771">
        <w:rPr>
          <w:rFonts w:ascii="Times New Roman" w:hAnsi="Times New Roman" w:cs="Times New Roman"/>
          <w:lang w:val="en-CA"/>
        </w:rPr>
        <w:t>s University</w:t>
      </w:r>
      <w:r w:rsidR="00333198">
        <w:rPr>
          <w:rFonts w:ascii="Times New Roman" w:hAnsi="Times New Roman" w:cs="Times New Roman"/>
          <w:lang w:val="en-CA"/>
        </w:rPr>
        <w:br/>
      </w:r>
      <w:hyperlink r:id="rId9" w:history="1">
        <w:r w:rsidR="00B077AD" w:rsidRPr="008B4DA2">
          <w:rPr>
            <w:rStyle w:val="Hyperlink"/>
            <w:rFonts w:ascii="Times New Roman" w:hAnsi="Times New Roman" w:cs="Times New Roman"/>
            <w:lang w:val="en-CA"/>
          </w:rPr>
          <w:t>lee.airton@queensu.ca</w:t>
        </w:r>
      </w:hyperlink>
      <w:r w:rsidR="00B077AD">
        <w:rPr>
          <w:rFonts w:ascii="Times New Roman" w:hAnsi="Times New Roman" w:cs="Times New Roman"/>
          <w:color w:val="FF0000"/>
          <w:lang w:val="en-CA"/>
        </w:rPr>
        <w:t xml:space="preserve"> </w:t>
      </w:r>
    </w:p>
    <w:p w14:paraId="0E150C0E" w14:textId="1C61012F" w:rsidR="00D10993" w:rsidRPr="00CC5771" w:rsidRDefault="00D10993" w:rsidP="004D0F4E">
      <w:pPr>
        <w:spacing w:after="240" w:line="480" w:lineRule="auto"/>
        <w:rPr>
          <w:rFonts w:ascii="Times New Roman" w:hAnsi="Times New Roman" w:cs="Times New Roman"/>
          <w:color w:val="FF0000"/>
          <w:lang w:val="en-CA"/>
        </w:rPr>
      </w:pPr>
      <w:r w:rsidRPr="00CC5771">
        <w:rPr>
          <w:rFonts w:ascii="Times New Roman" w:hAnsi="Times New Roman" w:cs="Times New Roman"/>
          <w:lang w:val="en-CA"/>
        </w:rPr>
        <w:lastRenderedPageBreak/>
        <w:t xml:space="preserve">Allison McMillan </w:t>
      </w:r>
      <w:r w:rsidRPr="00CC5771">
        <w:rPr>
          <w:rFonts w:ascii="Times New Roman" w:hAnsi="Times New Roman" w:cs="Times New Roman"/>
          <w:lang w:val="en-CA"/>
        </w:rPr>
        <w:br/>
        <w:t>Faculty of Education, Queen</w:t>
      </w:r>
      <w:r w:rsidR="00912EC7">
        <w:rPr>
          <w:rFonts w:ascii="Times New Roman" w:hAnsi="Times New Roman" w:cs="Times New Roman"/>
          <w:lang w:val="en-CA"/>
        </w:rPr>
        <w:t>’</w:t>
      </w:r>
      <w:r w:rsidRPr="00CC5771">
        <w:rPr>
          <w:rFonts w:ascii="Times New Roman" w:hAnsi="Times New Roman" w:cs="Times New Roman"/>
          <w:lang w:val="en-CA"/>
        </w:rPr>
        <w:t>s University</w:t>
      </w:r>
      <w:r w:rsidR="00333198">
        <w:rPr>
          <w:rFonts w:ascii="Times New Roman" w:hAnsi="Times New Roman" w:cs="Times New Roman"/>
          <w:lang w:val="en-CA"/>
        </w:rPr>
        <w:br/>
      </w:r>
      <w:hyperlink r:id="rId10" w:history="1">
        <w:r w:rsidR="006C64A4" w:rsidRPr="008B4DA2">
          <w:rPr>
            <w:rStyle w:val="Hyperlink"/>
            <w:rFonts w:ascii="Times New Roman" w:hAnsi="Times New Roman" w:cs="Times New Roman"/>
            <w:lang w:val="en-CA"/>
          </w:rPr>
          <w:t>a.mcmillan@queensu.ca</w:t>
        </w:r>
      </w:hyperlink>
      <w:r w:rsidR="006C64A4">
        <w:rPr>
          <w:rFonts w:ascii="Times New Roman" w:hAnsi="Times New Roman" w:cs="Times New Roman"/>
          <w:color w:val="FF0000"/>
          <w:lang w:val="en-CA"/>
        </w:rPr>
        <w:t xml:space="preserve"> </w:t>
      </w:r>
    </w:p>
    <w:p w14:paraId="587C2018" w14:textId="42AF99BE" w:rsidR="00D10993" w:rsidRPr="00CC5771" w:rsidRDefault="00D10993" w:rsidP="004D0F4E">
      <w:pPr>
        <w:spacing w:after="240" w:line="480" w:lineRule="auto"/>
        <w:rPr>
          <w:rFonts w:ascii="Times New Roman" w:hAnsi="Times New Roman" w:cs="Times New Roman"/>
          <w:color w:val="FF0000"/>
          <w:lang w:val="en-CA"/>
        </w:rPr>
      </w:pPr>
      <w:r w:rsidRPr="00CC5771">
        <w:rPr>
          <w:rFonts w:ascii="Times New Roman" w:hAnsi="Times New Roman" w:cs="Times New Roman"/>
          <w:lang w:val="en-CA"/>
        </w:rPr>
        <w:t xml:space="preserve">Jacob DesRochers </w:t>
      </w:r>
      <w:r w:rsidRPr="00CC5771">
        <w:rPr>
          <w:rFonts w:ascii="Times New Roman" w:hAnsi="Times New Roman" w:cs="Times New Roman"/>
          <w:lang w:val="en-CA"/>
        </w:rPr>
        <w:br/>
        <w:t>Faculty of Education, Queen</w:t>
      </w:r>
      <w:r w:rsidR="00912EC7">
        <w:rPr>
          <w:rFonts w:ascii="Times New Roman" w:hAnsi="Times New Roman" w:cs="Times New Roman"/>
          <w:lang w:val="en-CA"/>
        </w:rPr>
        <w:t>’</w:t>
      </w:r>
      <w:r w:rsidRPr="00CC5771">
        <w:rPr>
          <w:rFonts w:ascii="Times New Roman" w:hAnsi="Times New Roman" w:cs="Times New Roman"/>
          <w:lang w:val="en-CA"/>
        </w:rPr>
        <w:t>s University</w:t>
      </w:r>
      <w:r w:rsidR="00333198">
        <w:rPr>
          <w:rFonts w:ascii="Times New Roman" w:hAnsi="Times New Roman" w:cs="Times New Roman"/>
          <w:lang w:val="en-CA"/>
        </w:rPr>
        <w:br/>
      </w:r>
      <w:hyperlink r:id="rId11" w:history="1">
        <w:r w:rsidR="006C64A4" w:rsidRPr="008B4DA2">
          <w:rPr>
            <w:rStyle w:val="Hyperlink"/>
            <w:rFonts w:ascii="Times New Roman" w:hAnsi="Times New Roman" w:cs="Times New Roman"/>
            <w:lang w:val="en-CA"/>
          </w:rPr>
          <w:t>jacob.desrochers@queensu.ca</w:t>
        </w:r>
      </w:hyperlink>
      <w:r w:rsidR="006C64A4">
        <w:rPr>
          <w:rFonts w:ascii="Times New Roman" w:hAnsi="Times New Roman" w:cs="Times New Roman"/>
          <w:color w:val="FF0000"/>
          <w:lang w:val="en-CA"/>
        </w:rPr>
        <w:t xml:space="preserve"> </w:t>
      </w:r>
    </w:p>
    <w:p w14:paraId="619D705A" w14:textId="77777777" w:rsidR="0079664D" w:rsidRDefault="0079664D" w:rsidP="004D0F4E">
      <w:pPr>
        <w:spacing w:after="240" w:line="480" w:lineRule="auto"/>
        <w:rPr>
          <w:rFonts w:ascii="Times New Roman" w:hAnsi="Times New Roman" w:cs="Times New Roman"/>
          <w:b/>
          <w:lang w:val="en-CA"/>
        </w:rPr>
      </w:pPr>
    </w:p>
    <w:p w14:paraId="35DE918F" w14:textId="77777777" w:rsidR="0079664D" w:rsidRDefault="0079664D" w:rsidP="004D0F4E">
      <w:pPr>
        <w:spacing w:after="240" w:line="480" w:lineRule="auto"/>
        <w:rPr>
          <w:rFonts w:ascii="Times New Roman" w:hAnsi="Times New Roman" w:cs="Times New Roman"/>
          <w:b/>
          <w:lang w:val="en-CA"/>
        </w:rPr>
      </w:pPr>
      <w:r w:rsidRPr="00CC5771">
        <w:rPr>
          <w:rFonts w:ascii="Times New Roman" w:hAnsi="Times New Roman" w:cs="Times New Roman"/>
          <w:noProof/>
        </w:rPr>
        <w:drawing>
          <wp:inline distT="0" distB="0" distL="0" distR="0" wp14:anchorId="4E5BB514" wp14:editId="795ADE6F">
            <wp:extent cx="5943600" cy="337760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815F05-5C97-4FE3-8F33-90D1A406DF86.png"/>
                    <pic:cNvPicPr/>
                  </pic:nvPicPr>
                  <pic:blipFill rotWithShape="1">
                    <a:blip r:embed="rId12"/>
                    <a:srcRect t="5253"/>
                    <a:stretch/>
                  </pic:blipFill>
                  <pic:spPr bwMode="auto">
                    <a:xfrm>
                      <a:off x="0" y="0"/>
                      <a:ext cx="5943600" cy="337760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726EFE0" w14:textId="2D371FD8" w:rsidR="0079664D" w:rsidRPr="00333198" w:rsidRDefault="0079664D" w:rsidP="004D0F4E">
      <w:pPr>
        <w:spacing w:after="240" w:line="480" w:lineRule="auto"/>
        <w:rPr>
          <w:rFonts w:ascii="Times New Roman" w:hAnsi="Times New Roman" w:cs="Times New Roman"/>
          <w:color w:val="FF0000"/>
          <w:lang w:val="en-CA"/>
        </w:rPr>
      </w:pPr>
      <w:r>
        <w:rPr>
          <w:rFonts w:ascii="Times New Roman" w:hAnsi="Times New Roman" w:cs="Times New Roman"/>
          <w:b/>
          <w:lang w:val="en-CA"/>
        </w:rPr>
        <w:t>Figure 1</w:t>
      </w:r>
      <w:r w:rsidR="00AF6A8B">
        <w:rPr>
          <w:rFonts w:ascii="Times New Roman" w:hAnsi="Times New Roman" w:cs="Times New Roman"/>
          <w:b/>
          <w:lang w:val="en-CA"/>
        </w:rPr>
        <w:t> </w:t>
      </w:r>
      <w:r w:rsidR="00AF6A8B" w:rsidRPr="00AF6A8B">
        <w:rPr>
          <w:rFonts w:ascii="Times New Roman" w:hAnsi="Times New Roman" w:cs="Times New Roman"/>
          <w:lang w:val="en-CA"/>
        </w:rPr>
        <w:t xml:space="preserve">Fidelity of </w:t>
      </w:r>
      <w:r w:rsidR="00AF6A8B">
        <w:rPr>
          <w:rFonts w:ascii="Times New Roman" w:hAnsi="Times New Roman" w:cs="Times New Roman"/>
          <w:lang w:val="en-CA"/>
        </w:rPr>
        <w:t>“</w:t>
      </w:r>
      <w:r w:rsidR="00AF6A8B" w:rsidRPr="00AF6A8B">
        <w:rPr>
          <w:rFonts w:ascii="Times New Roman" w:hAnsi="Times New Roman" w:cs="Times New Roman"/>
          <w:lang w:val="en-CA"/>
        </w:rPr>
        <w:t>gender identity</w:t>
      </w:r>
      <w:r w:rsidR="00AF6A8B">
        <w:rPr>
          <w:rFonts w:ascii="Times New Roman" w:hAnsi="Times New Roman" w:cs="Times New Roman"/>
          <w:lang w:val="en-CA"/>
        </w:rPr>
        <w:t>”</w:t>
      </w:r>
      <w:r w:rsidR="00AF6A8B" w:rsidRPr="00AF6A8B">
        <w:rPr>
          <w:rFonts w:ascii="Times New Roman" w:hAnsi="Times New Roman" w:cs="Times New Roman"/>
          <w:lang w:val="en-CA"/>
        </w:rPr>
        <w:t xml:space="preserve"> and </w:t>
      </w:r>
      <w:r w:rsidR="00AF6A8B">
        <w:rPr>
          <w:rFonts w:ascii="Times New Roman" w:hAnsi="Times New Roman" w:cs="Times New Roman"/>
          <w:lang w:val="en-CA"/>
        </w:rPr>
        <w:t>“</w:t>
      </w:r>
      <w:r w:rsidR="00AF6A8B" w:rsidRPr="00AF6A8B">
        <w:rPr>
          <w:rFonts w:ascii="Times New Roman" w:hAnsi="Times New Roman" w:cs="Times New Roman"/>
          <w:lang w:val="en-CA"/>
        </w:rPr>
        <w:t>gender expression</w:t>
      </w:r>
      <w:r w:rsidR="00AF6A8B">
        <w:rPr>
          <w:rFonts w:ascii="Times New Roman" w:hAnsi="Times New Roman" w:cs="Times New Roman"/>
          <w:lang w:val="en-CA"/>
        </w:rPr>
        <w:t>”</w:t>
      </w:r>
      <w:r w:rsidR="00AF6A8B" w:rsidRPr="00AF6A8B">
        <w:rPr>
          <w:rFonts w:ascii="Times New Roman" w:hAnsi="Times New Roman" w:cs="Times New Roman"/>
          <w:lang w:val="en-CA"/>
        </w:rPr>
        <w:t xml:space="preserve"> definitions to Ontario </w:t>
      </w:r>
      <w:r w:rsidR="00AF6A8B" w:rsidRPr="00461619">
        <w:rPr>
          <w:rFonts w:ascii="Times New Roman" w:hAnsi="Times New Roman" w:cs="Times New Roman"/>
          <w:i/>
          <w:lang w:val="en-CA"/>
        </w:rPr>
        <w:t>Human Rights Code</w:t>
      </w:r>
      <w:r w:rsidR="00AF6A8B" w:rsidRPr="00AF6A8B">
        <w:rPr>
          <w:rFonts w:ascii="Times New Roman" w:hAnsi="Times New Roman" w:cs="Times New Roman"/>
          <w:lang w:val="en-CA"/>
        </w:rPr>
        <w:t>.</w:t>
      </w:r>
      <w:r w:rsidR="00333198" w:rsidRPr="00AF6A8B">
        <w:rPr>
          <w:rFonts w:ascii="Times New Roman" w:hAnsi="Times New Roman" w:cs="Times New Roman"/>
          <w:lang w:val="en-CA"/>
        </w:rPr>
        <w:t xml:space="preserve"> </w:t>
      </w:r>
    </w:p>
    <w:p w14:paraId="4D3E199C" w14:textId="3682E8BA" w:rsidR="00583ECC" w:rsidRPr="00CC5771" w:rsidRDefault="00583ECC" w:rsidP="004D0F4E">
      <w:pPr>
        <w:spacing w:after="240" w:line="480" w:lineRule="auto"/>
        <w:rPr>
          <w:rFonts w:ascii="Times New Roman" w:hAnsi="Times New Roman" w:cs="Times New Roman"/>
          <w:b/>
          <w:lang w:val="en-CA"/>
        </w:rPr>
      </w:pPr>
      <w:r w:rsidRPr="00CC5771">
        <w:rPr>
          <w:rFonts w:ascii="Times New Roman" w:hAnsi="Times New Roman" w:cs="Times New Roman"/>
          <w:b/>
          <w:lang w:val="en-CA"/>
        </w:rPr>
        <w:br w:type="page"/>
      </w:r>
    </w:p>
    <w:p w14:paraId="474CA3E7" w14:textId="1B209D45" w:rsidR="008023DE" w:rsidRPr="00CC5771" w:rsidRDefault="008023DE" w:rsidP="004D0F4E">
      <w:pPr>
        <w:spacing w:after="240" w:line="480" w:lineRule="auto"/>
        <w:rPr>
          <w:rFonts w:ascii="Times New Roman" w:hAnsi="Times New Roman" w:cs="Times New Roman"/>
          <w:b/>
          <w:lang w:val="en-CA"/>
        </w:rPr>
      </w:pPr>
      <w:r w:rsidRPr="00CC5771">
        <w:rPr>
          <w:rFonts w:ascii="Times New Roman" w:hAnsi="Times New Roman" w:cs="Times New Roman"/>
          <w:b/>
          <w:lang w:val="en-CA"/>
        </w:rPr>
        <w:lastRenderedPageBreak/>
        <w:t>APPENDI</w:t>
      </w:r>
      <w:r w:rsidR="00F4695C" w:rsidRPr="00CC5771">
        <w:rPr>
          <w:rFonts w:ascii="Times New Roman" w:hAnsi="Times New Roman" w:cs="Times New Roman"/>
          <w:b/>
          <w:lang w:val="en-CA"/>
        </w:rPr>
        <w:t>CES</w:t>
      </w:r>
    </w:p>
    <w:p w14:paraId="47447377" w14:textId="63713731" w:rsidR="001E7E14" w:rsidRPr="00CC5771" w:rsidRDefault="001E7E14" w:rsidP="004D0F4E">
      <w:pPr>
        <w:spacing w:after="240" w:line="480" w:lineRule="auto"/>
        <w:rPr>
          <w:rFonts w:ascii="Times New Roman" w:hAnsi="Times New Roman" w:cs="Times New Roman"/>
          <w:b/>
          <w:lang w:val="en-CA"/>
        </w:rPr>
      </w:pPr>
      <w:r w:rsidRPr="00CC5771">
        <w:rPr>
          <w:rFonts w:ascii="Times New Roman" w:hAnsi="Times New Roman" w:cs="Times New Roman"/>
          <w:b/>
          <w:lang w:val="en-CA"/>
        </w:rPr>
        <w:t>Appendix 1: Policy Documents Containing Explicit Definitions of “Gender Identity” and</w:t>
      </w:r>
      <w:r w:rsidR="00804265" w:rsidRPr="00CC5771">
        <w:rPr>
          <w:rFonts w:ascii="Times New Roman" w:hAnsi="Times New Roman" w:cs="Times New Roman"/>
          <w:b/>
          <w:lang w:val="en-CA"/>
        </w:rPr>
        <w:t>/or</w:t>
      </w:r>
      <w:r w:rsidRPr="00CC5771">
        <w:rPr>
          <w:rFonts w:ascii="Times New Roman" w:hAnsi="Times New Roman" w:cs="Times New Roman"/>
          <w:b/>
          <w:lang w:val="en-CA"/>
        </w:rPr>
        <w:t xml:space="preserve"> Gender Expression”</w:t>
      </w: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360"/>
      </w:tblGrid>
      <w:tr w:rsidR="001E7E14" w:rsidRPr="00CC5771" w14:paraId="5ACB4E1D" w14:textId="77777777" w:rsidTr="00797F67">
        <w:tc>
          <w:tcPr>
            <w:tcW w:w="8340" w:type="dxa"/>
            <w:shd w:val="clear" w:color="auto" w:fill="auto"/>
            <w:tcMar>
              <w:top w:w="15" w:type="dxa"/>
              <w:left w:w="15" w:type="dxa"/>
              <w:bottom w:w="0" w:type="dxa"/>
              <w:right w:w="15" w:type="dxa"/>
            </w:tcMar>
            <w:vAlign w:val="bottom"/>
            <w:hideMark/>
          </w:tcPr>
          <w:p w14:paraId="3834C08A" w14:textId="1C209908" w:rsidR="00FC3FA9" w:rsidRPr="00CC5771" w:rsidRDefault="00FC3FA9" w:rsidP="00797F67">
            <w:pPr>
              <w:spacing w:line="480" w:lineRule="auto"/>
              <w:rPr>
                <w:rFonts w:ascii="Times New Roman" w:eastAsia="Times New Roman" w:hAnsi="Times New Roman" w:cs="Times New Roman"/>
                <w:lang w:val="en-CA"/>
              </w:rPr>
            </w:pPr>
            <w:r w:rsidRPr="00CC5771">
              <w:rPr>
                <w:rFonts w:ascii="Times New Roman" w:eastAsia="Times New Roman" w:hAnsi="Times New Roman" w:cs="Times New Roman"/>
                <w:bdr w:val="none" w:sz="0" w:space="0" w:color="auto" w:frame="1"/>
                <w:lang w:val="en-CA"/>
              </w:rPr>
              <w:t xml:space="preserve">District School Board of Niagara, </w:t>
            </w:r>
            <w:r w:rsidRPr="00CC5771">
              <w:rPr>
                <w:rFonts w:ascii="Times New Roman" w:eastAsia="Times New Roman" w:hAnsi="Times New Roman" w:cs="Times New Roman"/>
                <w:i/>
                <w:iCs/>
                <w:bdr w:val="none" w:sz="0" w:space="0" w:color="auto" w:frame="1"/>
                <w:lang w:val="en-CA"/>
              </w:rPr>
              <w:t xml:space="preserve">LGBTQ Supporting Students </w:t>
            </w:r>
            <w:r w:rsidRPr="00CC5771">
              <w:rPr>
                <w:rFonts w:ascii="Times New Roman" w:eastAsia="Times New Roman" w:hAnsi="Times New Roman" w:cs="Times New Roman"/>
                <w:bdr w:val="none" w:sz="0" w:space="0" w:color="auto" w:frame="1"/>
                <w:lang w:val="en-CA"/>
              </w:rPr>
              <w:t>(2012)</w:t>
            </w:r>
          </w:p>
        </w:tc>
      </w:tr>
      <w:tr w:rsidR="001E7E14" w:rsidRPr="00CC5771" w14:paraId="15E7CF6A" w14:textId="77777777" w:rsidTr="00797F67">
        <w:tc>
          <w:tcPr>
            <w:tcW w:w="8340" w:type="dxa"/>
            <w:shd w:val="clear" w:color="auto" w:fill="auto"/>
            <w:tcMar>
              <w:top w:w="15" w:type="dxa"/>
              <w:left w:w="15" w:type="dxa"/>
              <w:bottom w:w="0" w:type="dxa"/>
              <w:right w:w="15" w:type="dxa"/>
            </w:tcMar>
            <w:vAlign w:val="center"/>
            <w:hideMark/>
          </w:tcPr>
          <w:p w14:paraId="4480A286" w14:textId="4575BDBE" w:rsidR="001E7E14" w:rsidRPr="00CC5771" w:rsidRDefault="00FC3FA9" w:rsidP="00797F67">
            <w:pPr>
              <w:spacing w:line="480" w:lineRule="auto"/>
              <w:rPr>
                <w:rFonts w:ascii="Times New Roman" w:eastAsia="Times New Roman" w:hAnsi="Times New Roman" w:cs="Times New Roman"/>
                <w:bdr w:val="none" w:sz="0" w:space="0" w:color="auto" w:frame="1"/>
                <w:lang w:val="en-CA"/>
              </w:rPr>
            </w:pPr>
            <w:r w:rsidRPr="00CC5771">
              <w:rPr>
                <w:rFonts w:ascii="Times New Roman" w:eastAsia="Times New Roman" w:hAnsi="Times New Roman" w:cs="Times New Roman"/>
                <w:bdr w:val="none" w:sz="0" w:space="0" w:color="auto" w:frame="1"/>
                <w:lang w:val="en-CA"/>
              </w:rPr>
              <w:t xml:space="preserve">Durham District School Board, </w:t>
            </w:r>
            <w:r w:rsidRPr="00CC5771">
              <w:rPr>
                <w:rFonts w:ascii="Times New Roman" w:eastAsia="Times New Roman" w:hAnsi="Times New Roman" w:cs="Times New Roman"/>
                <w:i/>
                <w:iCs/>
                <w:bdr w:val="none" w:sz="0" w:space="0" w:color="auto" w:frame="1"/>
                <w:lang w:val="en-CA"/>
              </w:rPr>
              <w:t xml:space="preserve">Supporting Our Transgender Students </w:t>
            </w:r>
            <w:r w:rsidRPr="00CC5771">
              <w:rPr>
                <w:rFonts w:ascii="Times New Roman" w:eastAsia="Times New Roman" w:hAnsi="Times New Roman" w:cs="Times New Roman"/>
                <w:bdr w:val="none" w:sz="0" w:space="0" w:color="auto" w:frame="1"/>
                <w:lang w:val="en-CA"/>
              </w:rPr>
              <w:t>(2012)</w:t>
            </w:r>
          </w:p>
        </w:tc>
      </w:tr>
      <w:tr w:rsidR="001E7E14" w:rsidRPr="00CC5771" w14:paraId="7D643C3D" w14:textId="77777777" w:rsidTr="00797F67">
        <w:tc>
          <w:tcPr>
            <w:tcW w:w="8340" w:type="dxa"/>
            <w:shd w:val="clear" w:color="auto" w:fill="auto"/>
            <w:tcMar>
              <w:top w:w="15" w:type="dxa"/>
              <w:left w:w="15" w:type="dxa"/>
              <w:bottom w:w="0" w:type="dxa"/>
              <w:right w:w="15" w:type="dxa"/>
            </w:tcMar>
            <w:vAlign w:val="bottom"/>
            <w:hideMark/>
          </w:tcPr>
          <w:p w14:paraId="790CDC16" w14:textId="457C875F" w:rsidR="001E7E14" w:rsidRPr="00CC5771" w:rsidRDefault="001E7E14" w:rsidP="00797F67">
            <w:pPr>
              <w:spacing w:line="480" w:lineRule="auto"/>
              <w:rPr>
                <w:rFonts w:ascii="Times New Roman" w:eastAsia="Times New Roman" w:hAnsi="Times New Roman" w:cs="Times New Roman"/>
                <w:lang w:val="en-CA"/>
              </w:rPr>
            </w:pPr>
            <w:r w:rsidRPr="00CC5771">
              <w:rPr>
                <w:rFonts w:ascii="Times New Roman" w:eastAsia="Times New Roman" w:hAnsi="Times New Roman" w:cs="Times New Roman"/>
                <w:bdr w:val="none" w:sz="0" w:space="0" w:color="auto" w:frame="1"/>
                <w:lang w:val="en-CA"/>
              </w:rPr>
              <w:t xml:space="preserve">Greater Essex County District School Board, </w:t>
            </w:r>
            <w:r w:rsidRPr="00CC5771">
              <w:rPr>
                <w:rFonts w:ascii="Times New Roman" w:eastAsia="Times New Roman" w:hAnsi="Times New Roman" w:cs="Times New Roman"/>
                <w:i/>
                <w:iCs/>
                <w:bdr w:val="none" w:sz="0" w:space="0" w:color="auto" w:frame="1"/>
                <w:lang w:val="en-CA"/>
              </w:rPr>
              <w:t>Supporting Gender Identity</w:t>
            </w:r>
            <w:r w:rsidRPr="00CC5771">
              <w:rPr>
                <w:rFonts w:ascii="Times New Roman" w:eastAsia="Times New Roman" w:hAnsi="Times New Roman" w:cs="Times New Roman"/>
                <w:bdr w:val="none" w:sz="0" w:space="0" w:color="auto" w:frame="1"/>
                <w:lang w:val="en-CA"/>
              </w:rPr>
              <w:t xml:space="preserve"> (2016)</w:t>
            </w:r>
          </w:p>
        </w:tc>
      </w:tr>
      <w:tr w:rsidR="001E7E14" w:rsidRPr="00CC5771" w14:paraId="712CCC2C" w14:textId="77777777" w:rsidTr="00797F67">
        <w:tc>
          <w:tcPr>
            <w:tcW w:w="8340" w:type="dxa"/>
            <w:shd w:val="clear" w:color="auto" w:fill="auto"/>
            <w:tcMar>
              <w:top w:w="15" w:type="dxa"/>
              <w:left w:w="15" w:type="dxa"/>
              <w:bottom w:w="0" w:type="dxa"/>
              <w:right w:w="15" w:type="dxa"/>
            </w:tcMar>
            <w:vAlign w:val="bottom"/>
            <w:hideMark/>
          </w:tcPr>
          <w:p w14:paraId="0967E0EE" w14:textId="1320F396" w:rsidR="001E7E14" w:rsidRPr="00CC5771" w:rsidRDefault="00744436" w:rsidP="00797F67">
            <w:pPr>
              <w:spacing w:line="480" w:lineRule="auto"/>
              <w:rPr>
                <w:rFonts w:ascii="Times New Roman" w:eastAsia="Times New Roman" w:hAnsi="Times New Roman" w:cs="Times New Roman"/>
                <w:lang w:val="en-CA"/>
              </w:rPr>
            </w:pPr>
            <w:r w:rsidRPr="00CC5771">
              <w:rPr>
                <w:rFonts w:ascii="Times New Roman" w:eastAsia="Times New Roman" w:hAnsi="Times New Roman" w:cs="Times New Roman"/>
                <w:bdr w:val="none" w:sz="0" w:space="0" w:color="auto" w:frame="1"/>
                <w:lang w:val="en-CA"/>
              </w:rPr>
              <w:t xml:space="preserve">Hamilton-Wentworth District School Board, </w:t>
            </w:r>
            <w:r w:rsidRPr="00CC5771">
              <w:rPr>
                <w:rFonts w:ascii="Times New Roman" w:eastAsia="Times New Roman" w:hAnsi="Times New Roman" w:cs="Times New Roman"/>
                <w:i/>
                <w:iCs/>
                <w:bdr w:val="none" w:sz="0" w:space="0" w:color="auto" w:frame="1"/>
                <w:lang w:val="en-CA"/>
              </w:rPr>
              <w:t>Gender Equity Procedure</w:t>
            </w:r>
            <w:r w:rsidRPr="00CC5771">
              <w:rPr>
                <w:rFonts w:ascii="Times New Roman" w:eastAsia="Times New Roman" w:hAnsi="Times New Roman" w:cs="Times New Roman"/>
                <w:bdr w:val="none" w:sz="0" w:space="0" w:color="auto" w:frame="1"/>
                <w:lang w:val="en-CA"/>
              </w:rPr>
              <w:t xml:space="preserve"> (2017)</w:t>
            </w:r>
          </w:p>
        </w:tc>
      </w:tr>
      <w:tr w:rsidR="001E7E14" w:rsidRPr="00CC5771" w14:paraId="78827589" w14:textId="77777777" w:rsidTr="00797F67">
        <w:tc>
          <w:tcPr>
            <w:tcW w:w="8340" w:type="dxa"/>
            <w:shd w:val="clear" w:color="auto" w:fill="auto"/>
            <w:tcMar>
              <w:top w:w="15" w:type="dxa"/>
              <w:left w:w="15" w:type="dxa"/>
              <w:bottom w:w="0" w:type="dxa"/>
              <w:right w:w="15" w:type="dxa"/>
            </w:tcMar>
            <w:vAlign w:val="bottom"/>
            <w:hideMark/>
          </w:tcPr>
          <w:p w14:paraId="5EA19949" w14:textId="2D335DC5" w:rsidR="001E7E14" w:rsidRPr="00CC5771" w:rsidRDefault="00744436" w:rsidP="00797F67">
            <w:pPr>
              <w:spacing w:line="480" w:lineRule="auto"/>
              <w:rPr>
                <w:rFonts w:ascii="Times New Roman" w:eastAsia="Times New Roman" w:hAnsi="Times New Roman" w:cs="Times New Roman"/>
                <w:bdr w:val="none" w:sz="0" w:space="0" w:color="auto" w:frame="1"/>
                <w:lang w:val="en-CA"/>
              </w:rPr>
            </w:pPr>
            <w:r w:rsidRPr="00CC5771">
              <w:rPr>
                <w:rFonts w:ascii="Times New Roman" w:eastAsia="Times New Roman" w:hAnsi="Times New Roman" w:cs="Times New Roman"/>
                <w:bdr w:val="none" w:sz="0" w:space="0" w:color="auto" w:frame="1"/>
                <w:lang w:val="en-CA"/>
              </w:rPr>
              <w:t xml:space="preserve">Hamilton-Wentworth District School Board, </w:t>
            </w:r>
            <w:r w:rsidRPr="00CC5771">
              <w:rPr>
                <w:rFonts w:ascii="Times New Roman" w:eastAsia="Times New Roman" w:hAnsi="Times New Roman" w:cs="Times New Roman"/>
                <w:i/>
                <w:iCs/>
                <w:bdr w:val="none" w:sz="0" w:space="0" w:color="auto" w:frame="1"/>
                <w:lang w:val="en-CA"/>
              </w:rPr>
              <w:t>Sexual Orientation Procedure</w:t>
            </w:r>
            <w:r w:rsidRPr="00CC5771">
              <w:rPr>
                <w:rFonts w:ascii="Times New Roman" w:eastAsia="Times New Roman" w:hAnsi="Times New Roman" w:cs="Times New Roman"/>
                <w:bdr w:val="none" w:sz="0" w:space="0" w:color="auto" w:frame="1"/>
                <w:lang w:val="en-CA"/>
              </w:rPr>
              <w:t xml:space="preserve"> (2017)</w:t>
            </w:r>
          </w:p>
        </w:tc>
      </w:tr>
      <w:tr w:rsidR="001E7E14" w:rsidRPr="00CC5771" w14:paraId="27A6C7E5" w14:textId="77777777" w:rsidTr="00797F67">
        <w:tc>
          <w:tcPr>
            <w:tcW w:w="8340" w:type="dxa"/>
            <w:shd w:val="clear" w:color="auto" w:fill="auto"/>
            <w:tcMar>
              <w:top w:w="15" w:type="dxa"/>
              <w:left w:w="15" w:type="dxa"/>
              <w:bottom w:w="0" w:type="dxa"/>
              <w:right w:w="15" w:type="dxa"/>
            </w:tcMar>
            <w:vAlign w:val="bottom"/>
            <w:hideMark/>
          </w:tcPr>
          <w:p w14:paraId="3FE3F7D0" w14:textId="2B20136A" w:rsidR="008A2680" w:rsidRPr="00CC5771" w:rsidRDefault="00744436" w:rsidP="00797F67">
            <w:pPr>
              <w:spacing w:line="480" w:lineRule="auto"/>
              <w:rPr>
                <w:rFonts w:ascii="Times New Roman" w:eastAsia="Times New Roman" w:hAnsi="Times New Roman" w:cs="Times New Roman"/>
                <w:lang w:val="en-CA"/>
              </w:rPr>
            </w:pPr>
            <w:r w:rsidRPr="00CC5771">
              <w:rPr>
                <w:rFonts w:ascii="Times New Roman" w:eastAsia="Times New Roman" w:hAnsi="Times New Roman" w:cs="Times New Roman"/>
                <w:bdr w:val="none" w:sz="0" w:space="0" w:color="auto" w:frame="1"/>
                <w:lang w:val="en-CA"/>
              </w:rPr>
              <w:t xml:space="preserve">Hastings and Prince Edward District School Board, </w:t>
            </w:r>
            <w:r w:rsidRPr="00CC5771">
              <w:rPr>
                <w:rFonts w:ascii="Times New Roman" w:eastAsia="Times New Roman" w:hAnsi="Times New Roman" w:cs="Times New Roman"/>
                <w:i/>
                <w:iCs/>
                <w:bdr w:val="none" w:sz="0" w:space="0" w:color="auto" w:frame="1"/>
                <w:lang w:val="en-CA"/>
              </w:rPr>
              <w:t>Resource Guide to Support Gender Identity and Gender Expression</w:t>
            </w:r>
            <w:r w:rsidRPr="00CC5771">
              <w:rPr>
                <w:rFonts w:ascii="Times New Roman" w:eastAsia="Times New Roman" w:hAnsi="Times New Roman" w:cs="Times New Roman"/>
                <w:bdr w:val="none" w:sz="0" w:space="0" w:color="auto" w:frame="1"/>
                <w:lang w:val="en-CA"/>
              </w:rPr>
              <w:t xml:space="preserve"> (2017)</w:t>
            </w:r>
          </w:p>
        </w:tc>
      </w:tr>
      <w:tr w:rsidR="001E7E14" w:rsidRPr="00CC5771" w14:paraId="372805D0" w14:textId="77777777" w:rsidTr="00797F67">
        <w:tc>
          <w:tcPr>
            <w:tcW w:w="8340" w:type="dxa"/>
            <w:shd w:val="clear" w:color="auto" w:fill="auto"/>
            <w:tcMar>
              <w:top w:w="15" w:type="dxa"/>
              <w:left w:w="15" w:type="dxa"/>
              <w:bottom w:w="0" w:type="dxa"/>
              <w:right w:w="15" w:type="dxa"/>
            </w:tcMar>
            <w:vAlign w:val="center"/>
            <w:hideMark/>
          </w:tcPr>
          <w:p w14:paraId="444F7428" w14:textId="1BC69F6C" w:rsidR="001E7E14" w:rsidRPr="00CC5771" w:rsidRDefault="001E7E14" w:rsidP="00797F67">
            <w:pPr>
              <w:spacing w:line="480" w:lineRule="auto"/>
              <w:rPr>
                <w:rFonts w:ascii="Times New Roman" w:eastAsia="Times New Roman" w:hAnsi="Times New Roman" w:cs="Times New Roman"/>
                <w:lang w:val="en-CA"/>
              </w:rPr>
            </w:pPr>
            <w:r w:rsidRPr="00CC5771">
              <w:rPr>
                <w:rFonts w:ascii="Times New Roman" w:eastAsia="Times New Roman" w:hAnsi="Times New Roman" w:cs="Times New Roman"/>
                <w:bdr w:val="none" w:sz="0" w:space="0" w:color="auto" w:frame="1"/>
                <w:lang w:val="en-CA"/>
              </w:rPr>
              <w:t xml:space="preserve">Kawartha Pine Ridge District School Board, </w:t>
            </w:r>
            <w:r w:rsidRPr="00CC5771">
              <w:rPr>
                <w:rFonts w:ascii="Times New Roman" w:eastAsia="Times New Roman" w:hAnsi="Times New Roman" w:cs="Times New Roman"/>
                <w:i/>
                <w:iCs/>
                <w:bdr w:val="none" w:sz="0" w:space="0" w:color="auto" w:frame="1"/>
                <w:lang w:val="en-CA"/>
              </w:rPr>
              <w:t>Gender</w:t>
            </w:r>
            <w:r w:rsidR="005F6406" w:rsidRPr="00CC5771">
              <w:rPr>
                <w:rFonts w:ascii="Times New Roman" w:eastAsia="Times New Roman" w:hAnsi="Times New Roman" w:cs="Times New Roman"/>
                <w:i/>
                <w:iCs/>
                <w:bdr w:val="none" w:sz="0" w:space="0" w:color="auto" w:frame="1"/>
                <w:lang w:val="en-CA"/>
              </w:rPr>
              <w:t xml:space="preserve">: </w:t>
            </w:r>
            <w:r w:rsidRPr="00CC5771">
              <w:rPr>
                <w:rFonts w:ascii="Times New Roman" w:eastAsia="Times New Roman" w:hAnsi="Times New Roman" w:cs="Times New Roman"/>
                <w:i/>
                <w:iCs/>
                <w:bdr w:val="none" w:sz="0" w:space="0" w:color="auto" w:frame="1"/>
                <w:lang w:val="en-CA"/>
              </w:rPr>
              <w:t>Words</w:t>
            </w:r>
            <w:r w:rsidR="005F6406" w:rsidRPr="00CC5771">
              <w:rPr>
                <w:rFonts w:ascii="Times New Roman" w:eastAsia="Times New Roman" w:hAnsi="Times New Roman" w:cs="Times New Roman"/>
                <w:i/>
                <w:iCs/>
                <w:bdr w:val="none" w:sz="0" w:space="0" w:color="auto" w:frame="1"/>
                <w:lang w:val="en-CA"/>
              </w:rPr>
              <w:t xml:space="preserve"> </w:t>
            </w:r>
            <w:r w:rsidRPr="00CC5771">
              <w:rPr>
                <w:rFonts w:ascii="Times New Roman" w:eastAsia="Times New Roman" w:hAnsi="Times New Roman" w:cs="Times New Roman"/>
                <w:i/>
                <w:iCs/>
                <w:bdr w:val="none" w:sz="0" w:space="0" w:color="auto" w:frame="1"/>
                <w:lang w:val="en-CA"/>
              </w:rPr>
              <w:t>Matter</w:t>
            </w:r>
            <w:r w:rsidRPr="00CC5771">
              <w:rPr>
                <w:rFonts w:ascii="Times New Roman" w:eastAsia="Times New Roman" w:hAnsi="Times New Roman" w:cs="Times New Roman"/>
                <w:bdr w:val="none" w:sz="0" w:space="0" w:color="auto" w:frame="1"/>
                <w:lang w:val="en-CA"/>
              </w:rPr>
              <w:t xml:space="preserve"> (2016)</w:t>
            </w:r>
          </w:p>
        </w:tc>
      </w:tr>
      <w:tr w:rsidR="001E7E14" w:rsidRPr="00CC5771" w14:paraId="1614F4B1" w14:textId="77777777" w:rsidTr="00797F67">
        <w:tc>
          <w:tcPr>
            <w:tcW w:w="8340" w:type="dxa"/>
            <w:shd w:val="clear" w:color="auto" w:fill="auto"/>
            <w:tcMar>
              <w:top w:w="15" w:type="dxa"/>
              <w:left w:w="15" w:type="dxa"/>
              <w:bottom w:w="0" w:type="dxa"/>
              <w:right w:w="15" w:type="dxa"/>
            </w:tcMar>
            <w:vAlign w:val="center"/>
            <w:hideMark/>
          </w:tcPr>
          <w:p w14:paraId="1573C9E4" w14:textId="3C78577B" w:rsidR="001E7E14" w:rsidRPr="00CC5771" w:rsidRDefault="001E7E14" w:rsidP="00797F67">
            <w:pPr>
              <w:spacing w:line="480" w:lineRule="auto"/>
              <w:rPr>
                <w:rFonts w:ascii="Times New Roman" w:eastAsia="Times New Roman" w:hAnsi="Times New Roman" w:cs="Times New Roman"/>
                <w:lang w:val="en-CA"/>
              </w:rPr>
            </w:pPr>
            <w:r w:rsidRPr="00CC5771">
              <w:rPr>
                <w:rFonts w:ascii="Times New Roman" w:eastAsia="Times New Roman" w:hAnsi="Times New Roman" w:cs="Times New Roman"/>
                <w:bdr w:val="none" w:sz="0" w:space="0" w:color="auto" w:frame="1"/>
                <w:lang w:val="en-CA"/>
              </w:rPr>
              <w:t xml:space="preserve">Lakehead District School Board, </w:t>
            </w:r>
            <w:r w:rsidRPr="00CC5771">
              <w:rPr>
                <w:rFonts w:ascii="Times New Roman" w:eastAsia="Times New Roman" w:hAnsi="Times New Roman" w:cs="Times New Roman"/>
                <w:i/>
                <w:iCs/>
                <w:bdr w:val="none" w:sz="0" w:space="0" w:color="auto" w:frame="1"/>
                <w:lang w:val="en-CA"/>
              </w:rPr>
              <w:t>Harassment Procedure</w:t>
            </w:r>
            <w:r w:rsidRPr="00CC5771">
              <w:rPr>
                <w:rFonts w:ascii="Times New Roman" w:eastAsia="Times New Roman" w:hAnsi="Times New Roman" w:cs="Times New Roman"/>
                <w:bdr w:val="none" w:sz="0" w:space="0" w:color="auto" w:frame="1"/>
                <w:lang w:val="en-CA"/>
              </w:rPr>
              <w:t xml:space="preserve"> (2013)</w:t>
            </w:r>
          </w:p>
        </w:tc>
      </w:tr>
      <w:tr w:rsidR="001E7E14" w:rsidRPr="00CC5771" w14:paraId="250D91C0" w14:textId="77777777" w:rsidTr="00797F67">
        <w:tc>
          <w:tcPr>
            <w:tcW w:w="8340" w:type="dxa"/>
            <w:shd w:val="clear" w:color="auto" w:fill="auto"/>
            <w:tcMar>
              <w:top w:w="15" w:type="dxa"/>
              <w:left w:w="15" w:type="dxa"/>
              <w:bottom w:w="0" w:type="dxa"/>
              <w:right w:w="15" w:type="dxa"/>
            </w:tcMar>
            <w:vAlign w:val="center"/>
            <w:hideMark/>
          </w:tcPr>
          <w:p w14:paraId="3CFBDB01" w14:textId="60D04413" w:rsidR="001E7E14" w:rsidRPr="00CC5771" w:rsidRDefault="001E7E14" w:rsidP="00797F67">
            <w:pPr>
              <w:spacing w:line="480" w:lineRule="auto"/>
              <w:rPr>
                <w:rFonts w:ascii="Times New Roman" w:eastAsia="Times New Roman" w:hAnsi="Times New Roman" w:cs="Times New Roman"/>
                <w:lang w:val="en-CA"/>
              </w:rPr>
            </w:pPr>
            <w:r w:rsidRPr="00CC5771">
              <w:rPr>
                <w:rFonts w:ascii="Times New Roman" w:eastAsia="Times New Roman" w:hAnsi="Times New Roman" w:cs="Times New Roman"/>
                <w:bdr w:val="none" w:sz="0" w:space="0" w:color="auto" w:frame="1"/>
                <w:lang w:val="en-CA"/>
              </w:rPr>
              <w:t xml:space="preserve">Lakehead District School Board, </w:t>
            </w:r>
            <w:r w:rsidR="005F6406" w:rsidRPr="00CC5771">
              <w:rPr>
                <w:rFonts w:ascii="Times New Roman" w:eastAsia="Times New Roman" w:hAnsi="Times New Roman" w:cs="Times New Roman"/>
                <w:i/>
                <w:iCs/>
                <w:bdr w:val="none" w:sz="0" w:space="0" w:color="auto" w:frame="1"/>
                <w:lang w:val="en-CA"/>
              </w:rPr>
              <w:t xml:space="preserve">Sexual Orientation and Gender Identity </w:t>
            </w:r>
            <w:r w:rsidRPr="00CC5771">
              <w:rPr>
                <w:rFonts w:ascii="Times New Roman" w:eastAsia="Times New Roman" w:hAnsi="Times New Roman" w:cs="Times New Roman"/>
                <w:i/>
                <w:iCs/>
                <w:bdr w:val="none" w:sz="0" w:space="0" w:color="auto" w:frame="1"/>
                <w:lang w:val="en-CA"/>
              </w:rPr>
              <w:t>Policy</w:t>
            </w:r>
            <w:r w:rsidR="005F6406" w:rsidRPr="00CC5771">
              <w:rPr>
                <w:rFonts w:ascii="Times New Roman" w:eastAsia="Times New Roman" w:hAnsi="Times New Roman" w:cs="Times New Roman"/>
                <w:i/>
                <w:iCs/>
                <w:bdr w:val="none" w:sz="0" w:space="0" w:color="auto" w:frame="1"/>
                <w:lang w:val="en-CA"/>
              </w:rPr>
              <w:t xml:space="preserve"> </w:t>
            </w:r>
            <w:r w:rsidRPr="00CC5771">
              <w:rPr>
                <w:rFonts w:ascii="Times New Roman" w:eastAsia="Times New Roman" w:hAnsi="Times New Roman" w:cs="Times New Roman"/>
                <w:i/>
                <w:iCs/>
                <w:bdr w:val="none" w:sz="0" w:space="0" w:color="auto" w:frame="1"/>
                <w:lang w:val="en-CA"/>
              </w:rPr>
              <w:t>Definitions</w:t>
            </w:r>
            <w:r w:rsidRPr="00CC5771">
              <w:rPr>
                <w:rFonts w:ascii="Times New Roman" w:eastAsia="Times New Roman" w:hAnsi="Times New Roman" w:cs="Times New Roman"/>
                <w:bdr w:val="none" w:sz="0" w:space="0" w:color="auto" w:frame="1"/>
                <w:lang w:val="en-CA"/>
              </w:rPr>
              <w:t xml:space="preserve"> (2013)</w:t>
            </w:r>
          </w:p>
        </w:tc>
      </w:tr>
      <w:tr w:rsidR="001E7E14" w:rsidRPr="00CC5771" w14:paraId="715970FB" w14:textId="77777777" w:rsidTr="00797F67">
        <w:tc>
          <w:tcPr>
            <w:tcW w:w="8340" w:type="dxa"/>
            <w:shd w:val="clear" w:color="auto" w:fill="auto"/>
            <w:tcMar>
              <w:top w:w="15" w:type="dxa"/>
              <w:left w:w="15" w:type="dxa"/>
              <w:bottom w:w="0" w:type="dxa"/>
              <w:right w:w="15" w:type="dxa"/>
            </w:tcMar>
            <w:vAlign w:val="bottom"/>
            <w:hideMark/>
          </w:tcPr>
          <w:p w14:paraId="149D4B2B" w14:textId="71481FC8" w:rsidR="001E7E14" w:rsidRPr="00CC5771" w:rsidRDefault="001E7E14" w:rsidP="00797F67">
            <w:pPr>
              <w:spacing w:line="480" w:lineRule="auto"/>
              <w:rPr>
                <w:rFonts w:ascii="Times New Roman" w:eastAsia="Times New Roman" w:hAnsi="Times New Roman" w:cs="Times New Roman"/>
                <w:iCs/>
                <w:lang w:val="en-CA"/>
              </w:rPr>
            </w:pPr>
            <w:r w:rsidRPr="00CC5771">
              <w:rPr>
                <w:rFonts w:ascii="Times New Roman" w:eastAsia="Times New Roman" w:hAnsi="Times New Roman" w:cs="Times New Roman"/>
                <w:bdr w:val="none" w:sz="0" w:space="0" w:color="auto" w:frame="1"/>
                <w:lang w:val="en-CA"/>
              </w:rPr>
              <w:t xml:space="preserve">Ottawa-Carleton District School Board, </w:t>
            </w:r>
            <w:r w:rsidRPr="00CC5771">
              <w:rPr>
                <w:rFonts w:ascii="Times New Roman" w:hAnsi="Times New Roman" w:cs="Times New Roman"/>
                <w:i/>
                <w:lang w:val="en-CA"/>
              </w:rPr>
              <w:t xml:space="preserve">Gender Identity and Gender Expression: Guide to Support </w:t>
            </w:r>
            <w:r w:rsidR="00AF6A8B" w:rsidRPr="00CC5771">
              <w:rPr>
                <w:rFonts w:ascii="Times New Roman" w:hAnsi="Times New Roman" w:cs="Times New Roman"/>
                <w:i/>
                <w:lang w:val="en-CA"/>
              </w:rPr>
              <w:t xml:space="preserve">Our </w:t>
            </w:r>
            <w:r w:rsidRPr="00CC5771">
              <w:rPr>
                <w:rFonts w:ascii="Times New Roman" w:hAnsi="Times New Roman" w:cs="Times New Roman"/>
                <w:i/>
                <w:lang w:val="en-CA"/>
              </w:rPr>
              <w:t>Students</w:t>
            </w:r>
            <w:r w:rsidRPr="00CC5771">
              <w:rPr>
                <w:rFonts w:ascii="Times New Roman" w:hAnsi="Times New Roman" w:cs="Times New Roman"/>
                <w:iCs/>
                <w:lang w:val="en-CA"/>
              </w:rPr>
              <w:t xml:space="preserve"> (2016)</w:t>
            </w:r>
          </w:p>
        </w:tc>
      </w:tr>
      <w:tr w:rsidR="001E7E14" w:rsidRPr="00CC5771" w14:paraId="16E0BED9" w14:textId="77777777" w:rsidTr="00797F67">
        <w:tc>
          <w:tcPr>
            <w:tcW w:w="8340" w:type="dxa"/>
            <w:shd w:val="clear" w:color="auto" w:fill="auto"/>
            <w:tcMar>
              <w:top w:w="15" w:type="dxa"/>
              <w:left w:w="15" w:type="dxa"/>
              <w:bottom w:w="0" w:type="dxa"/>
              <w:right w:w="15" w:type="dxa"/>
            </w:tcMar>
            <w:vAlign w:val="bottom"/>
            <w:hideMark/>
          </w:tcPr>
          <w:p w14:paraId="0F504E83" w14:textId="23CCFBA2" w:rsidR="001E7E14" w:rsidRPr="00CC5771" w:rsidRDefault="001E7E14" w:rsidP="00797F67">
            <w:pPr>
              <w:spacing w:line="480" w:lineRule="auto"/>
              <w:rPr>
                <w:rFonts w:ascii="Times New Roman" w:eastAsia="Times New Roman" w:hAnsi="Times New Roman" w:cs="Times New Roman"/>
                <w:lang w:val="en-CA"/>
              </w:rPr>
            </w:pPr>
            <w:r w:rsidRPr="00CC5771">
              <w:rPr>
                <w:rFonts w:ascii="Times New Roman" w:eastAsia="Times New Roman" w:hAnsi="Times New Roman" w:cs="Times New Roman"/>
                <w:bdr w:val="none" w:sz="0" w:space="0" w:color="auto" w:frame="1"/>
                <w:lang w:val="en-CA"/>
              </w:rPr>
              <w:t xml:space="preserve">Peel District School Board, </w:t>
            </w:r>
            <w:r w:rsidRPr="00CC5771">
              <w:rPr>
                <w:rFonts w:ascii="Times New Roman" w:eastAsia="Times New Roman" w:hAnsi="Times New Roman" w:cs="Times New Roman"/>
                <w:i/>
                <w:iCs/>
                <w:bdr w:val="none" w:sz="0" w:space="0" w:color="auto" w:frame="1"/>
                <w:lang w:val="en-CA"/>
              </w:rPr>
              <w:t>Gender Identity and Gender Expression Guidelines</w:t>
            </w:r>
            <w:r w:rsidRPr="00CC5771">
              <w:rPr>
                <w:rFonts w:ascii="Times New Roman" w:eastAsia="Times New Roman" w:hAnsi="Times New Roman" w:cs="Times New Roman"/>
                <w:bdr w:val="none" w:sz="0" w:space="0" w:color="auto" w:frame="1"/>
                <w:lang w:val="en-CA"/>
              </w:rPr>
              <w:t xml:space="preserve"> (2017)</w:t>
            </w:r>
          </w:p>
        </w:tc>
      </w:tr>
      <w:tr w:rsidR="001E7E14" w:rsidRPr="00CC5771" w14:paraId="59D29D5B" w14:textId="77777777" w:rsidTr="00797F67">
        <w:tc>
          <w:tcPr>
            <w:tcW w:w="8340" w:type="dxa"/>
            <w:shd w:val="clear" w:color="auto" w:fill="auto"/>
            <w:tcMar>
              <w:top w:w="15" w:type="dxa"/>
              <w:left w:w="15" w:type="dxa"/>
              <w:bottom w:w="0" w:type="dxa"/>
              <w:right w:w="15" w:type="dxa"/>
            </w:tcMar>
            <w:vAlign w:val="bottom"/>
            <w:hideMark/>
          </w:tcPr>
          <w:p w14:paraId="47065AB5" w14:textId="7609DA52" w:rsidR="001E7E14" w:rsidRPr="00CC5771" w:rsidRDefault="00B12061" w:rsidP="00797F67">
            <w:pPr>
              <w:spacing w:line="480" w:lineRule="auto"/>
              <w:rPr>
                <w:rFonts w:ascii="Times New Roman" w:eastAsia="Times New Roman" w:hAnsi="Times New Roman" w:cs="Times New Roman"/>
                <w:bdr w:val="none" w:sz="0" w:space="0" w:color="auto" w:frame="1"/>
                <w:lang w:val="en-CA"/>
              </w:rPr>
            </w:pPr>
            <w:r w:rsidRPr="00CC5771">
              <w:rPr>
                <w:rFonts w:ascii="Times New Roman" w:hAnsi="Times New Roman" w:cs="Times New Roman"/>
                <w:color w:val="222222"/>
                <w:shd w:val="clear" w:color="auto" w:fill="FFFFFF"/>
                <w:lang w:val="en-CA"/>
              </w:rPr>
              <w:t xml:space="preserve">Rainy River District School Board, </w:t>
            </w:r>
            <w:r w:rsidRPr="00CC5771">
              <w:rPr>
                <w:rFonts w:ascii="Times New Roman" w:eastAsia="Times New Roman" w:hAnsi="Times New Roman" w:cs="Times New Roman"/>
                <w:i/>
                <w:iCs/>
                <w:bdr w:val="none" w:sz="0" w:space="0" w:color="auto" w:frame="1"/>
                <w:lang w:val="en-CA"/>
              </w:rPr>
              <w:t>Safe Schools</w:t>
            </w:r>
            <w:r w:rsidRPr="00CC5771">
              <w:rPr>
                <w:rFonts w:ascii="Times New Roman" w:eastAsia="Times New Roman" w:hAnsi="Times New Roman" w:cs="Times New Roman"/>
                <w:bdr w:val="none" w:sz="0" w:space="0" w:color="auto" w:frame="1"/>
                <w:lang w:val="en-CA"/>
              </w:rPr>
              <w:t xml:space="preserve"> (2018)</w:t>
            </w:r>
          </w:p>
        </w:tc>
      </w:tr>
      <w:tr w:rsidR="001E7E14" w:rsidRPr="00CC5771" w14:paraId="0B11E7FF" w14:textId="77777777" w:rsidTr="00797F67">
        <w:tc>
          <w:tcPr>
            <w:tcW w:w="8340" w:type="dxa"/>
            <w:shd w:val="clear" w:color="auto" w:fill="auto"/>
            <w:tcMar>
              <w:top w:w="15" w:type="dxa"/>
              <w:left w:w="15" w:type="dxa"/>
              <w:bottom w:w="0" w:type="dxa"/>
              <w:right w:w="15" w:type="dxa"/>
            </w:tcMar>
            <w:vAlign w:val="bottom"/>
            <w:hideMark/>
          </w:tcPr>
          <w:p w14:paraId="7FEB9075" w14:textId="4EB587B5" w:rsidR="001E7E14" w:rsidRPr="00CC5771" w:rsidRDefault="00B12061" w:rsidP="00797F67">
            <w:pPr>
              <w:spacing w:line="480" w:lineRule="auto"/>
              <w:rPr>
                <w:rFonts w:ascii="Times New Roman" w:hAnsi="Times New Roman" w:cs="Times New Roman"/>
                <w:lang w:val="en-CA"/>
              </w:rPr>
            </w:pPr>
            <w:r w:rsidRPr="00CC5771">
              <w:rPr>
                <w:rFonts w:ascii="Times New Roman" w:eastAsia="Times New Roman" w:hAnsi="Times New Roman" w:cs="Times New Roman"/>
                <w:bdr w:val="none" w:sz="0" w:space="0" w:color="auto" w:frame="1"/>
                <w:lang w:val="en-CA"/>
              </w:rPr>
              <w:t xml:space="preserve">Renfrew County District School Board, </w:t>
            </w:r>
            <w:r w:rsidRPr="00CC5771">
              <w:rPr>
                <w:rFonts w:ascii="Times New Roman" w:eastAsia="Times New Roman" w:hAnsi="Times New Roman" w:cs="Times New Roman"/>
                <w:i/>
                <w:iCs/>
                <w:bdr w:val="none" w:sz="0" w:space="0" w:color="auto" w:frame="1"/>
                <w:lang w:val="en-CA"/>
              </w:rPr>
              <w:t>Transgender Students</w:t>
            </w:r>
            <w:r w:rsidRPr="00CC5771">
              <w:rPr>
                <w:rFonts w:ascii="Times New Roman" w:eastAsia="Times New Roman" w:hAnsi="Times New Roman" w:cs="Times New Roman"/>
                <w:bdr w:val="none" w:sz="0" w:space="0" w:color="auto" w:frame="1"/>
                <w:lang w:val="en-CA"/>
              </w:rPr>
              <w:t xml:space="preserve"> (2015)</w:t>
            </w:r>
          </w:p>
        </w:tc>
      </w:tr>
      <w:tr w:rsidR="001E7E14" w:rsidRPr="00CC5771" w14:paraId="4BFF958D" w14:textId="77777777" w:rsidTr="00797F67">
        <w:tc>
          <w:tcPr>
            <w:tcW w:w="8340" w:type="dxa"/>
            <w:shd w:val="clear" w:color="auto" w:fill="auto"/>
            <w:tcMar>
              <w:top w:w="15" w:type="dxa"/>
              <w:left w:w="15" w:type="dxa"/>
              <w:bottom w:w="0" w:type="dxa"/>
              <w:right w:w="15" w:type="dxa"/>
            </w:tcMar>
            <w:vAlign w:val="bottom"/>
            <w:hideMark/>
          </w:tcPr>
          <w:p w14:paraId="48FDCF1E" w14:textId="40C98B1F" w:rsidR="001E7E14" w:rsidRPr="00CC5771" w:rsidRDefault="001E7E14" w:rsidP="00797F67">
            <w:pPr>
              <w:spacing w:line="480" w:lineRule="auto"/>
              <w:rPr>
                <w:rFonts w:ascii="Times New Roman" w:eastAsia="Times New Roman" w:hAnsi="Times New Roman" w:cs="Times New Roman"/>
                <w:lang w:val="en-CA"/>
              </w:rPr>
            </w:pPr>
            <w:r w:rsidRPr="00CC5771">
              <w:rPr>
                <w:rFonts w:ascii="Times New Roman" w:eastAsia="Times New Roman" w:hAnsi="Times New Roman" w:cs="Times New Roman"/>
                <w:bdr w:val="none" w:sz="0" w:space="0" w:color="auto" w:frame="1"/>
                <w:lang w:val="en-CA"/>
              </w:rPr>
              <w:t>Simcoe County District School Board</w:t>
            </w:r>
            <w:r w:rsidR="005F6406" w:rsidRPr="00CC5771">
              <w:rPr>
                <w:rFonts w:ascii="Times New Roman" w:eastAsia="Times New Roman" w:hAnsi="Times New Roman" w:cs="Times New Roman"/>
                <w:bdr w:val="none" w:sz="0" w:space="0" w:color="auto" w:frame="1"/>
                <w:lang w:val="en-CA"/>
              </w:rPr>
              <w:t xml:space="preserve">, </w:t>
            </w:r>
            <w:r w:rsidR="005F6406" w:rsidRPr="00CC5771">
              <w:rPr>
                <w:rFonts w:ascii="Times New Roman" w:eastAsia="Times New Roman" w:hAnsi="Times New Roman" w:cs="Times New Roman"/>
                <w:i/>
                <w:iCs/>
                <w:bdr w:val="none" w:sz="0" w:space="0" w:color="auto" w:frame="1"/>
                <w:lang w:val="en-CA"/>
              </w:rPr>
              <w:t xml:space="preserve">Creating </w:t>
            </w:r>
            <w:r w:rsidR="00FD19B3" w:rsidRPr="00CC5771">
              <w:rPr>
                <w:rFonts w:ascii="Times New Roman" w:eastAsia="Times New Roman" w:hAnsi="Times New Roman" w:cs="Times New Roman"/>
                <w:i/>
                <w:iCs/>
                <w:bdr w:val="none" w:sz="0" w:space="0" w:color="auto" w:frame="1"/>
                <w:lang w:val="en-CA"/>
              </w:rPr>
              <w:t>Positive</w:t>
            </w:r>
            <w:r w:rsidR="005F6406" w:rsidRPr="00CC5771">
              <w:rPr>
                <w:rFonts w:ascii="Times New Roman" w:eastAsia="Times New Roman" w:hAnsi="Times New Roman" w:cs="Times New Roman"/>
                <w:i/>
                <w:iCs/>
                <w:bdr w:val="none" w:sz="0" w:space="0" w:color="auto" w:frame="1"/>
                <w:lang w:val="en-CA"/>
              </w:rPr>
              <w:t xml:space="preserve"> Spaces for Trans*</w:t>
            </w:r>
            <w:r w:rsidR="00AF6A8B">
              <w:rPr>
                <w:rFonts w:ascii="Times New Roman" w:eastAsia="Times New Roman" w:hAnsi="Times New Roman" w:cs="Times New Roman"/>
                <w:i/>
                <w:iCs/>
                <w:bdr w:val="none" w:sz="0" w:space="0" w:color="auto" w:frame="1"/>
                <w:lang w:val="en-CA"/>
              </w:rPr>
              <w:t xml:space="preserve"> </w:t>
            </w:r>
            <w:r w:rsidR="005F6406" w:rsidRPr="00CC5771">
              <w:rPr>
                <w:rFonts w:ascii="Times New Roman" w:eastAsia="Times New Roman" w:hAnsi="Times New Roman" w:cs="Times New Roman"/>
                <w:i/>
                <w:iCs/>
                <w:bdr w:val="none" w:sz="0" w:space="0" w:color="auto" w:frame="1"/>
                <w:lang w:val="en-CA"/>
              </w:rPr>
              <w:t>Students: A Guidebook for Administrators, Teachers, &amp; Support Staff</w:t>
            </w:r>
            <w:r w:rsidR="005F6406" w:rsidRPr="00CC5771">
              <w:rPr>
                <w:rFonts w:ascii="Times New Roman" w:eastAsia="Times New Roman" w:hAnsi="Times New Roman" w:cs="Times New Roman"/>
                <w:bdr w:val="none" w:sz="0" w:space="0" w:color="auto" w:frame="1"/>
                <w:lang w:val="en-CA"/>
              </w:rPr>
              <w:t xml:space="preserve"> (no date provided)</w:t>
            </w:r>
          </w:p>
        </w:tc>
      </w:tr>
      <w:tr w:rsidR="001E7E14" w:rsidRPr="00CC5771" w14:paraId="0CAEFCF3" w14:textId="77777777" w:rsidTr="00797F67">
        <w:trPr>
          <w:trHeight w:val="51"/>
        </w:trPr>
        <w:tc>
          <w:tcPr>
            <w:tcW w:w="8340" w:type="dxa"/>
            <w:shd w:val="clear" w:color="auto" w:fill="auto"/>
            <w:tcMar>
              <w:top w:w="15" w:type="dxa"/>
              <w:left w:w="15" w:type="dxa"/>
              <w:bottom w:w="0" w:type="dxa"/>
              <w:right w:w="15" w:type="dxa"/>
            </w:tcMar>
            <w:vAlign w:val="center"/>
            <w:hideMark/>
          </w:tcPr>
          <w:p w14:paraId="27193264" w14:textId="14AF2867" w:rsidR="001E7E14" w:rsidRPr="00CC5771" w:rsidRDefault="001E7E14" w:rsidP="00797F67">
            <w:pPr>
              <w:spacing w:line="480" w:lineRule="auto"/>
              <w:rPr>
                <w:rFonts w:ascii="Times New Roman" w:hAnsi="Times New Roman" w:cs="Times New Roman"/>
                <w:lang w:val="en-CA"/>
              </w:rPr>
            </w:pPr>
            <w:r w:rsidRPr="00CC5771">
              <w:rPr>
                <w:rFonts w:ascii="Times New Roman" w:hAnsi="Times New Roman" w:cs="Times New Roman"/>
                <w:color w:val="222222"/>
                <w:shd w:val="clear" w:color="auto" w:fill="FFFFFF"/>
                <w:lang w:val="en-CA"/>
              </w:rPr>
              <w:t xml:space="preserve">Simcoe County District School Board, </w:t>
            </w:r>
            <w:r w:rsidRPr="00CC5771">
              <w:rPr>
                <w:rFonts w:ascii="Times New Roman" w:eastAsia="Times New Roman" w:hAnsi="Times New Roman" w:cs="Times New Roman"/>
                <w:i/>
                <w:iCs/>
                <w:bdr w:val="none" w:sz="0" w:space="0" w:color="auto" w:frame="1"/>
                <w:lang w:val="en-CA"/>
              </w:rPr>
              <w:t xml:space="preserve">Equity </w:t>
            </w:r>
            <w:r w:rsidR="005F6406" w:rsidRPr="00CC5771">
              <w:rPr>
                <w:rFonts w:ascii="Times New Roman" w:eastAsia="Times New Roman" w:hAnsi="Times New Roman" w:cs="Times New Roman"/>
                <w:i/>
                <w:iCs/>
                <w:bdr w:val="none" w:sz="0" w:space="0" w:color="auto" w:frame="1"/>
                <w:lang w:val="en-CA"/>
              </w:rPr>
              <w:t>Policy</w:t>
            </w:r>
            <w:r w:rsidR="005F6406" w:rsidRPr="00CC5771">
              <w:rPr>
                <w:rFonts w:ascii="Times New Roman" w:eastAsia="Times New Roman" w:hAnsi="Times New Roman" w:cs="Times New Roman"/>
                <w:bdr w:val="none" w:sz="0" w:space="0" w:color="auto" w:frame="1"/>
                <w:lang w:val="en-CA"/>
              </w:rPr>
              <w:t xml:space="preserve"> </w:t>
            </w:r>
            <w:r w:rsidRPr="00CC5771">
              <w:rPr>
                <w:rFonts w:ascii="Times New Roman" w:eastAsia="Times New Roman" w:hAnsi="Times New Roman" w:cs="Times New Roman"/>
                <w:bdr w:val="none" w:sz="0" w:space="0" w:color="auto" w:frame="1"/>
                <w:lang w:val="en-CA"/>
              </w:rPr>
              <w:t>(2017)</w:t>
            </w:r>
          </w:p>
        </w:tc>
      </w:tr>
      <w:tr w:rsidR="001E7E14" w:rsidRPr="00CC5771" w14:paraId="6F9CA456" w14:textId="77777777" w:rsidTr="00797F67">
        <w:tc>
          <w:tcPr>
            <w:tcW w:w="8340" w:type="dxa"/>
            <w:shd w:val="clear" w:color="auto" w:fill="auto"/>
            <w:tcMar>
              <w:top w:w="15" w:type="dxa"/>
              <w:left w:w="15" w:type="dxa"/>
              <w:bottom w:w="0" w:type="dxa"/>
              <w:right w:w="15" w:type="dxa"/>
            </w:tcMar>
            <w:vAlign w:val="center"/>
            <w:hideMark/>
          </w:tcPr>
          <w:p w14:paraId="302AA8DB" w14:textId="26CA9293" w:rsidR="001E7E14" w:rsidRPr="00CC5771" w:rsidRDefault="001E7E14" w:rsidP="00797F67">
            <w:pPr>
              <w:spacing w:line="480" w:lineRule="auto"/>
              <w:rPr>
                <w:rFonts w:ascii="Times New Roman" w:eastAsia="Times New Roman" w:hAnsi="Times New Roman" w:cs="Times New Roman"/>
                <w:lang w:val="en-CA"/>
              </w:rPr>
            </w:pPr>
            <w:r w:rsidRPr="00CC5771">
              <w:rPr>
                <w:rFonts w:ascii="Times New Roman" w:eastAsia="Times New Roman" w:hAnsi="Times New Roman" w:cs="Times New Roman"/>
                <w:bdr w:val="none" w:sz="0" w:space="0" w:color="auto" w:frame="1"/>
                <w:lang w:val="en-CA"/>
              </w:rPr>
              <w:lastRenderedPageBreak/>
              <w:t xml:space="preserve">Toronto District School Board, </w:t>
            </w:r>
            <w:r w:rsidRPr="00CC5771">
              <w:rPr>
                <w:rFonts w:ascii="Times New Roman" w:eastAsia="Times New Roman" w:hAnsi="Times New Roman" w:cs="Times New Roman"/>
                <w:i/>
                <w:iCs/>
                <w:bdr w:val="none" w:sz="0" w:space="0" w:color="auto" w:frame="1"/>
                <w:lang w:val="en-CA"/>
              </w:rPr>
              <w:t>Guidelines for Supporting Transgender Students and Staff</w:t>
            </w:r>
            <w:r w:rsidRPr="00CC5771">
              <w:rPr>
                <w:rFonts w:ascii="Times New Roman" w:eastAsia="Times New Roman" w:hAnsi="Times New Roman" w:cs="Times New Roman"/>
                <w:bdr w:val="none" w:sz="0" w:space="0" w:color="auto" w:frame="1"/>
                <w:lang w:val="en-CA"/>
              </w:rPr>
              <w:t xml:space="preserve"> (2013)</w:t>
            </w:r>
          </w:p>
        </w:tc>
      </w:tr>
      <w:tr w:rsidR="001E7E14" w:rsidRPr="00CC5771" w14:paraId="6A209202" w14:textId="77777777" w:rsidTr="00797F67">
        <w:tc>
          <w:tcPr>
            <w:tcW w:w="8340" w:type="dxa"/>
            <w:shd w:val="clear" w:color="auto" w:fill="auto"/>
            <w:tcMar>
              <w:top w:w="15" w:type="dxa"/>
              <w:left w:w="15" w:type="dxa"/>
              <w:bottom w:w="0" w:type="dxa"/>
              <w:right w:w="15" w:type="dxa"/>
            </w:tcMar>
            <w:vAlign w:val="bottom"/>
            <w:hideMark/>
          </w:tcPr>
          <w:p w14:paraId="67595BB8" w14:textId="464D766D" w:rsidR="001E7E14" w:rsidRPr="00CC5771" w:rsidRDefault="001E7E14" w:rsidP="00797F67">
            <w:pPr>
              <w:spacing w:line="480" w:lineRule="auto"/>
              <w:rPr>
                <w:rFonts w:ascii="Times New Roman" w:eastAsia="Times New Roman" w:hAnsi="Times New Roman" w:cs="Times New Roman"/>
                <w:lang w:val="en-CA"/>
              </w:rPr>
            </w:pPr>
            <w:r w:rsidRPr="00CC5771">
              <w:rPr>
                <w:rFonts w:ascii="Times New Roman" w:eastAsia="Times New Roman" w:hAnsi="Times New Roman" w:cs="Times New Roman"/>
                <w:bdr w:val="none" w:sz="0" w:space="0" w:color="auto" w:frame="1"/>
                <w:lang w:val="en-CA"/>
              </w:rPr>
              <w:t xml:space="preserve">Toronto District School Board, </w:t>
            </w:r>
            <w:r w:rsidRPr="00CC5771">
              <w:rPr>
                <w:rFonts w:ascii="Times New Roman" w:eastAsia="Times New Roman" w:hAnsi="Times New Roman" w:cs="Times New Roman"/>
                <w:i/>
                <w:iCs/>
                <w:bdr w:val="none" w:sz="0" w:space="0" w:color="auto" w:frame="1"/>
                <w:lang w:val="en-CA"/>
              </w:rPr>
              <w:t>Transgender Support Guidelines</w:t>
            </w:r>
            <w:r w:rsidRPr="00CC5771">
              <w:rPr>
                <w:rFonts w:ascii="Times New Roman" w:eastAsia="Times New Roman" w:hAnsi="Times New Roman" w:cs="Times New Roman"/>
                <w:bdr w:val="none" w:sz="0" w:space="0" w:color="auto" w:frame="1"/>
                <w:lang w:val="en-CA"/>
              </w:rPr>
              <w:t xml:space="preserve"> (2013)</w:t>
            </w:r>
          </w:p>
        </w:tc>
      </w:tr>
      <w:tr w:rsidR="001E7E14" w:rsidRPr="00CC5771" w14:paraId="352E1FB2" w14:textId="77777777" w:rsidTr="00797F67">
        <w:tc>
          <w:tcPr>
            <w:tcW w:w="8340" w:type="dxa"/>
            <w:shd w:val="clear" w:color="auto" w:fill="auto"/>
            <w:tcMar>
              <w:top w:w="15" w:type="dxa"/>
              <w:left w:w="15" w:type="dxa"/>
              <w:bottom w:w="0" w:type="dxa"/>
              <w:right w:w="15" w:type="dxa"/>
            </w:tcMar>
            <w:vAlign w:val="center"/>
            <w:hideMark/>
          </w:tcPr>
          <w:p w14:paraId="7E8E53B4" w14:textId="6033DCB0" w:rsidR="001E7E14" w:rsidRPr="00CC5771" w:rsidRDefault="001E7E14" w:rsidP="00797F67">
            <w:pPr>
              <w:spacing w:line="480" w:lineRule="auto"/>
              <w:rPr>
                <w:rFonts w:ascii="Times New Roman" w:eastAsia="Times New Roman" w:hAnsi="Times New Roman" w:cs="Times New Roman"/>
                <w:lang w:val="en-CA"/>
              </w:rPr>
            </w:pPr>
            <w:r w:rsidRPr="00CC5771">
              <w:rPr>
                <w:rFonts w:ascii="Times New Roman" w:eastAsia="Times New Roman" w:hAnsi="Times New Roman" w:cs="Times New Roman"/>
                <w:bdr w:val="none" w:sz="0" w:space="0" w:color="auto" w:frame="1"/>
                <w:lang w:val="en-CA"/>
              </w:rPr>
              <w:t xml:space="preserve">Toronto District School Board, </w:t>
            </w:r>
            <w:r w:rsidRPr="00CC5771">
              <w:rPr>
                <w:rFonts w:ascii="Times New Roman" w:eastAsia="Times New Roman" w:hAnsi="Times New Roman" w:cs="Times New Roman"/>
                <w:i/>
                <w:iCs/>
                <w:bdr w:val="none" w:sz="0" w:space="0" w:color="auto" w:frame="1"/>
                <w:lang w:val="en-CA"/>
              </w:rPr>
              <w:t>Equity Policy</w:t>
            </w:r>
            <w:r w:rsidRPr="00CC5771">
              <w:rPr>
                <w:rFonts w:ascii="Times New Roman" w:eastAsia="Times New Roman" w:hAnsi="Times New Roman" w:cs="Times New Roman"/>
                <w:bdr w:val="none" w:sz="0" w:space="0" w:color="auto" w:frame="1"/>
                <w:lang w:val="en-CA"/>
              </w:rPr>
              <w:t> (2018)</w:t>
            </w:r>
          </w:p>
        </w:tc>
      </w:tr>
      <w:tr w:rsidR="001E7E14" w:rsidRPr="00CC5771" w14:paraId="433A4567" w14:textId="77777777" w:rsidTr="00797F67">
        <w:tc>
          <w:tcPr>
            <w:tcW w:w="8340" w:type="dxa"/>
            <w:shd w:val="clear" w:color="auto" w:fill="auto"/>
            <w:tcMar>
              <w:top w:w="15" w:type="dxa"/>
              <w:left w:w="15" w:type="dxa"/>
              <w:bottom w:w="0" w:type="dxa"/>
              <w:right w:w="15" w:type="dxa"/>
            </w:tcMar>
            <w:vAlign w:val="center"/>
            <w:hideMark/>
          </w:tcPr>
          <w:p w14:paraId="4582BA84" w14:textId="19B8FB95" w:rsidR="001E7E14" w:rsidRPr="00CC5771" w:rsidRDefault="001E7E14" w:rsidP="00797F67">
            <w:pPr>
              <w:spacing w:line="480" w:lineRule="auto"/>
              <w:rPr>
                <w:rFonts w:ascii="Times New Roman" w:hAnsi="Times New Roman" w:cs="Times New Roman"/>
                <w:lang w:val="en-CA"/>
              </w:rPr>
            </w:pPr>
            <w:r w:rsidRPr="00CC5771">
              <w:rPr>
                <w:rFonts w:ascii="Times New Roman" w:hAnsi="Times New Roman" w:cs="Times New Roman"/>
                <w:color w:val="222222"/>
                <w:shd w:val="clear" w:color="auto" w:fill="FFFFFF"/>
                <w:lang w:val="en-CA"/>
              </w:rPr>
              <w:t xml:space="preserve">Trillium Lakelands District School Board, </w:t>
            </w:r>
            <w:r w:rsidRPr="00CC5771">
              <w:rPr>
                <w:rFonts w:ascii="Times New Roman" w:eastAsia="Times New Roman" w:hAnsi="Times New Roman" w:cs="Times New Roman"/>
                <w:i/>
                <w:iCs/>
                <w:bdr w:val="none" w:sz="0" w:space="0" w:color="auto" w:frame="1"/>
                <w:lang w:val="en-CA"/>
              </w:rPr>
              <w:t>Supporting our Transgender Students</w:t>
            </w:r>
            <w:r w:rsidRPr="00CC5771">
              <w:rPr>
                <w:rFonts w:ascii="Times New Roman" w:eastAsia="Times New Roman" w:hAnsi="Times New Roman" w:cs="Times New Roman"/>
                <w:bdr w:val="none" w:sz="0" w:space="0" w:color="auto" w:frame="1"/>
                <w:lang w:val="en-CA"/>
              </w:rPr>
              <w:t xml:space="preserve"> (2013)</w:t>
            </w:r>
          </w:p>
        </w:tc>
      </w:tr>
      <w:tr w:rsidR="001E7E14" w:rsidRPr="00CC5771" w14:paraId="6CDC4A90" w14:textId="77777777" w:rsidTr="00797F67">
        <w:tc>
          <w:tcPr>
            <w:tcW w:w="8340" w:type="dxa"/>
            <w:shd w:val="clear" w:color="auto" w:fill="auto"/>
            <w:tcMar>
              <w:top w:w="15" w:type="dxa"/>
              <w:left w:w="15" w:type="dxa"/>
              <w:bottom w:w="0" w:type="dxa"/>
              <w:right w:w="15" w:type="dxa"/>
            </w:tcMar>
            <w:vAlign w:val="center"/>
            <w:hideMark/>
          </w:tcPr>
          <w:p w14:paraId="2D854607" w14:textId="766EE01A" w:rsidR="001E7E14" w:rsidRPr="00CC5771" w:rsidRDefault="001E7E14" w:rsidP="00797F67">
            <w:pPr>
              <w:spacing w:line="480" w:lineRule="auto"/>
              <w:rPr>
                <w:rFonts w:ascii="Times New Roman" w:hAnsi="Times New Roman" w:cs="Times New Roman"/>
                <w:lang w:val="en-CA"/>
              </w:rPr>
            </w:pPr>
            <w:r w:rsidRPr="00CC5771">
              <w:rPr>
                <w:rFonts w:ascii="Times New Roman" w:hAnsi="Times New Roman" w:cs="Times New Roman"/>
                <w:color w:val="222222"/>
                <w:shd w:val="clear" w:color="auto" w:fill="FFFFFF"/>
                <w:lang w:val="en-CA"/>
              </w:rPr>
              <w:t xml:space="preserve">Trillium Lakelands District School Board, </w:t>
            </w:r>
            <w:r w:rsidRPr="00CC5771">
              <w:rPr>
                <w:rFonts w:ascii="Times New Roman" w:eastAsia="Times New Roman" w:hAnsi="Times New Roman" w:cs="Times New Roman"/>
                <w:i/>
                <w:iCs/>
                <w:bdr w:val="none" w:sz="0" w:space="0" w:color="auto" w:frame="1"/>
                <w:lang w:val="en-CA"/>
              </w:rPr>
              <w:t>Transgender Guidelines</w:t>
            </w:r>
            <w:r w:rsidRPr="00CC5771">
              <w:rPr>
                <w:rFonts w:ascii="Times New Roman" w:eastAsia="Times New Roman" w:hAnsi="Times New Roman" w:cs="Times New Roman"/>
                <w:bdr w:val="none" w:sz="0" w:space="0" w:color="auto" w:frame="1"/>
                <w:lang w:val="en-CA"/>
              </w:rPr>
              <w:t xml:space="preserve"> (2018)</w:t>
            </w:r>
          </w:p>
        </w:tc>
      </w:tr>
      <w:tr w:rsidR="001E7E14" w:rsidRPr="00CC5771" w14:paraId="6A34F837" w14:textId="77777777" w:rsidTr="00797F67">
        <w:tc>
          <w:tcPr>
            <w:tcW w:w="8340" w:type="dxa"/>
            <w:shd w:val="clear" w:color="auto" w:fill="auto"/>
            <w:tcMar>
              <w:top w:w="15" w:type="dxa"/>
              <w:left w:w="15" w:type="dxa"/>
              <w:bottom w:w="0" w:type="dxa"/>
              <w:right w:w="15" w:type="dxa"/>
            </w:tcMar>
            <w:vAlign w:val="center"/>
            <w:hideMark/>
          </w:tcPr>
          <w:p w14:paraId="5A257637" w14:textId="749D54BD" w:rsidR="001E7E14" w:rsidRPr="00CC5771" w:rsidRDefault="001E7E14" w:rsidP="00797F67">
            <w:pPr>
              <w:spacing w:line="480" w:lineRule="auto"/>
              <w:rPr>
                <w:rFonts w:ascii="Times New Roman" w:hAnsi="Times New Roman" w:cs="Times New Roman"/>
                <w:lang w:val="en-CA"/>
              </w:rPr>
            </w:pPr>
            <w:r w:rsidRPr="00CC5771">
              <w:rPr>
                <w:rFonts w:ascii="Times New Roman" w:hAnsi="Times New Roman" w:cs="Times New Roman"/>
                <w:color w:val="222222"/>
                <w:shd w:val="clear" w:color="auto" w:fill="FFFFFF"/>
                <w:lang w:val="en-CA"/>
              </w:rPr>
              <w:t xml:space="preserve">Upper Grand District School Board, </w:t>
            </w:r>
            <w:r w:rsidRPr="00CC5771">
              <w:rPr>
                <w:rFonts w:ascii="Times New Roman" w:eastAsia="Times New Roman" w:hAnsi="Times New Roman" w:cs="Times New Roman"/>
                <w:i/>
                <w:iCs/>
                <w:bdr w:val="none" w:sz="0" w:space="0" w:color="auto" w:frame="1"/>
                <w:lang w:val="en-CA"/>
              </w:rPr>
              <w:t>Equity and Inclusive Education Manual</w:t>
            </w:r>
            <w:r w:rsidRPr="00CC5771">
              <w:rPr>
                <w:rFonts w:ascii="Times New Roman" w:eastAsia="Times New Roman" w:hAnsi="Times New Roman" w:cs="Times New Roman"/>
                <w:bdr w:val="none" w:sz="0" w:space="0" w:color="auto" w:frame="1"/>
                <w:lang w:val="en-CA"/>
              </w:rPr>
              <w:t xml:space="preserve"> (2016)</w:t>
            </w:r>
          </w:p>
        </w:tc>
      </w:tr>
      <w:tr w:rsidR="001E7E14" w:rsidRPr="00CC5771" w14:paraId="1D60D543" w14:textId="77777777" w:rsidTr="00797F67">
        <w:tc>
          <w:tcPr>
            <w:tcW w:w="8340" w:type="dxa"/>
            <w:shd w:val="clear" w:color="auto" w:fill="auto"/>
            <w:tcMar>
              <w:top w:w="15" w:type="dxa"/>
              <w:left w:w="15" w:type="dxa"/>
              <w:bottom w:w="0" w:type="dxa"/>
              <w:right w:w="15" w:type="dxa"/>
            </w:tcMar>
            <w:vAlign w:val="center"/>
            <w:hideMark/>
          </w:tcPr>
          <w:p w14:paraId="0D2346D3" w14:textId="0C9E20F8" w:rsidR="001E7E14" w:rsidRPr="00CC5771" w:rsidRDefault="001E7E14" w:rsidP="00797F67">
            <w:pPr>
              <w:spacing w:line="480" w:lineRule="auto"/>
              <w:rPr>
                <w:rFonts w:ascii="Times New Roman" w:eastAsia="Times New Roman" w:hAnsi="Times New Roman" w:cs="Times New Roman"/>
                <w:lang w:val="en-CA"/>
              </w:rPr>
            </w:pPr>
            <w:r w:rsidRPr="00CC5771">
              <w:rPr>
                <w:rFonts w:ascii="Times New Roman" w:eastAsia="Times New Roman" w:hAnsi="Times New Roman" w:cs="Times New Roman"/>
                <w:bdr w:val="none" w:sz="0" w:space="0" w:color="auto" w:frame="1"/>
                <w:lang w:val="en-CA"/>
              </w:rPr>
              <w:t xml:space="preserve">Upper Grand District School Board, </w:t>
            </w:r>
            <w:r w:rsidRPr="00CC5771">
              <w:rPr>
                <w:rFonts w:ascii="Times New Roman" w:eastAsia="Times New Roman" w:hAnsi="Times New Roman" w:cs="Times New Roman"/>
                <w:i/>
                <w:iCs/>
                <w:bdr w:val="none" w:sz="0" w:space="0" w:color="auto" w:frame="1"/>
                <w:lang w:val="en-CA"/>
              </w:rPr>
              <w:t>Transgender and Gender Non-Conforming Accommodation</w:t>
            </w:r>
            <w:r w:rsidR="005F6406" w:rsidRPr="00CC5771">
              <w:rPr>
                <w:rFonts w:ascii="Times New Roman" w:eastAsia="Times New Roman" w:hAnsi="Times New Roman" w:cs="Times New Roman"/>
                <w:i/>
                <w:iCs/>
                <w:bdr w:val="none" w:sz="0" w:space="0" w:color="auto" w:frame="1"/>
                <w:lang w:val="en-CA"/>
              </w:rPr>
              <w:t xml:space="preserve"> </w:t>
            </w:r>
            <w:r w:rsidRPr="00CC5771">
              <w:rPr>
                <w:rFonts w:ascii="Times New Roman" w:eastAsia="Times New Roman" w:hAnsi="Times New Roman" w:cs="Times New Roman"/>
                <w:i/>
                <w:iCs/>
                <w:bdr w:val="none" w:sz="0" w:space="0" w:color="auto" w:frame="1"/>
                <w:lang w:val="en-CA"/>
              </w:rPr>
              <w:t>Guide</w:t>
            </w:r>
            <w:r w:rsidRPr="00CC5771">
              <w:rPr>
                <w:rFonts w:ascii="Times New Roman" w:eastAsia="Times New Roman" w:hAnsi="Times New Roman" w:cs="Times New Roman"/>
                <w:bdr w:val="none" w:sz="0" w:space="0" w:color="auto" w:frame="1"/>
                <w:lang w:val="en-CA"/>
              </w:rPr>
              <w:t xml:space="preserve"> (2016)</w:t>
            </w:r>
          </w:p>
        </w:tc>
      </w:tr>
      <w:tr w:rsidR="001E7E14" w:rsidRPr="00CC5771" w14:paraId="4BD368F3" w14:textId="77777777" w:rsidTr="00797F67">
        <w:tc>
          <w:tcPr>
            <w:tcW w:w="8340" w:type="dxa"/>
            <w:shd w:val="clear" w:color="auto" w:fill="auto"/>
            <w:tcMar>
              <w:top w:w="15" w:type="dxa"/>
              <w:left w:w="15" w:type="dxa"/>
              <w:bottom w:w="0" w:type="dxa"/>
              <w:right w:w="15" w:type="dxa"/>
            </w:tcMar>
            <w:vAlign w:val="center"/>
            <w:hideMark/>
          </w:tcPr>
          <w:p w14:paraId="26E21F31" w14:textId="13BFCF2C" w:rsidR="001E7E14" w:rsidRPr="00CC5771" w:rsidRDefault="001E7E14" w:rsidP="00797F67">
            <w:pPr>
              <w:spacing w:line="480" w:lineRule="auto"/>
              <w:rPr>
                <w:rFonts w:ascii="Times New Roman" w:eastAsia="Times New Roman" w:hAnsi="Times New Roman" w:cs="Times New Roman"/>
                <w:lang w:val="en-CA"/>
              </w:rPr>
            </w:pPr>
            <w:r w:rsidRPr="00CC5771">
              <w:rPr>
                <w:rFonts w:ascii="Times New Roman" w:eastAsia="Times New Roman" w:hAnsi="Times New Roman" w:cs="Times New Roman"/>
                <w:bdr w:val="none" w:sz="0" w:space="0" w:color="auto" w:frame="1"/>
                <w:lang w:val="en-CA"/>
              </w:rPr>
              <w:t xml:space="preserve">Upper Grand District School Board, </w:t>
            </w:r>
            <w:r w:rsidRPr="00CC5771">
              <w:rPr>
                <w:rFonts w:ascii="Times New Roman" w:eastAsia="Times New Roman" w:hAnsi="Times New Roman" w:cs="Times New Roman"/>
                <w:i/>
                <w:iCs/>
                <w:bdr w:val="none" w:sz="0" w:space="0" w:color="auto" w:frame="1"/>
                <w:lang w:val="en-CA"/>
              </w:rPr>
              <w:t>Violence in the Workplace</w:t>
            </w:r>
            <w:r w:rsidRPr="00CC5771">
              <w:rPr>
                <w:rFonts w:ascii="Times New Roman" w:eastAsia="Times New Roman" w:hAnsi="Times New Roman" w:cs="Times New Roman"/>
                <w:bdr w:val="none" w:sz="0" w:space="0" w:color="auto" w:frame="1"/>
                <w:lang w:val="en-CA"/>
              </w:rPr>
              <w:t xml:space="preserve"> (2018)</w:t>
            </w:r>
          </w:p>
        </w:tc>
      </w:tr>
      <w:tr w:rsidR="001E7E14" w:rsidRPr="00CC5771" w14:paraId="036BAEB3" w14:textId="77777777" w:rsidTr="00797F67">
        <w:trPr>
          <w:trHeight w:val="58"/>
        </w:trPr>
        <w:tc>
          <w:tcPr>
            <w:tcW w:w="8340" w:type="dxa"/>
            <w:shd w:val="clear" w:color="auto" w:fill="auto"/>
            <w:tcMar>
              <w:top w:w="15" w:type="dxa"/>
              <w:left w:w="15" w:type="dxa"/>
              <w:bottom w:w="0" w:type="dxa"/>
              <w:right w:w="15" w:type="dxa"/>
            </w:tcMar>
            <w:vAlign w:val="center"/>
            <w:hideMark/>
          </w:tcPr>
          <w:p w14:paraId="086E1D6E" w14:textId="29638178" w:rsidR="001E7E14" w:rsidRPr="00CC5771" w:rsidRDefault="001E7E14" w:rsidP="00797F67">
            <w:pPr>
              <w:spacing w:line="480" w:lineRule="auto"/>
              <w:rPr>
                <w:rFonts w:ascii="Times New Roman" w:eastAsia="Times New Roman" w:hAnsi="Times New Roman" w:cs="Times New Roman"/>
                <w:lang w:val="en-CA"/>
              </w:rPr>
            </w:pPr>
            <w:r w:rsidRPr="00CC5771">
              <w:rPr>
                <w:rFonts w:ascii="Times New Roman" w:eastAsia="Times New Roman" w:hAnsi="Times New Roman" w:cs="Times New Roman"/>
                <w:bdr w:val="none" w:sz="0" w:space="0" w:color="auto" w:frame="1"/>
                <w:lang w:val="en-CA"/>
              </w:rPr>
              <w:t xml:space="preserve">Waterloo Region District School Board, </w:t>
            </w:r>
            <w:r w:rsidRPr="00CC5771">
              <w:rPr>
                <w:rFonts w:ascii="Times New Roman" w:eastAsia="Times New Roman" w:hAnsi="Times New Roman" w:cs="Times New Roman"/>
                <w:i/>
                <w:iCs/>
                <w:bdr w:val="none" w:sz="0" w:space="0" w:color="auto" w:frame="1"/>
                <w:lang w:val="en-CA"/>
              </w:rPr>
              <w:t>Transgender Guide Procedure</w:t>
            </w:r>
            <w:r w:rsidRPr="00CC5771">
              <w:rPr>
                <w:rFonts w:ascii="Times New Roman" w:eastAsia="Times New Roman" w:hAnsi="Times New Roman" w:cs="Times New Roman"/>
                <w:bdr w:val="none" w:sz="0" w:space="0" w:color="auto" w:frame="1"/>
                <w:lang w:val="en-CA"/>
              </w:rPr>
              <w:t xml:space="preserve"> (2017)</w:t>
            </w:r>
          </w:p>
        </w:tc>
      </w:tr>
    </w:tbl>
    <w:p w14:paraId="64766487" w14:textId="2CFB6A75" w:rsidR="001E7E14" w:rsidRPr="00CC5771" w:rsidRDefault="001E7E14" w:rsidP="004D0F4E">
      <w:pPr>
        <w:spacing w:after="240" w:line="480" w:lineRule="auto"/>
        <w:rPr>
          <w:rFonts w:ascii="Times New Roman" w:hAnsi="Times New Roman" w:cs="Times New Roman"/>
          <w:b/>
          <w:lang w:val="en-CA"/>
        </w:rPr>
      </w:pPr>
    </w:p>
    <w:p w14:paraId="442FD50F" w14:textId="77777777" w:rsidR="001E7E14" w:rsidRPr="00CC5771" w:rsidRDefault="001E7E14" w:rsidP="004D0F4E">
      <w:pPr>
        <w:spacing w:after="240" w:line="480" w:lineRule="auto"/>
        <w:rPr>
          <w:rFonts w:ascii="Times New Roman" w:hAnsi="Times New Roman" w:cs="Times New Roman"/>
          <w:b/>
          <w:lang w:val="en-CA"/>
        </w:rPr>
      </w:pPr>
    </w:p>
    <w:p w14:paraId="4E0AFFC1" w14:textId="73676BBF" w:rsidR="001E7E14" w:rsidRDefault="001E7E14" w:rsidP="004D0F4E">
      <w:pPr>
        <w:spacing w:after="240" w:line="480" w:lineRule="auto"/>
        <w:rPr>
          <w:rFonts w:ascii="Times New Roman" w:hAnsi="Times New Roman" w:cs="Times New Roman"/>
          <w:b/>
          <w:lang w:val="en-CA"/>
        </w:rPr>
      </w:pPr>
    </w:p>
    <w:p w14:paraId="4FA7ACD2" w14:textId="5865125B" w:rsidR="0079664D" w:rsidRPr="0079664D" w:rsidRDefault="0079664D" w:rsidP="004D0F4E">
      <w:pPr>
        <w:spacing w:after="240" w:line="480" w:lineRule="auto"/>
        <w:rPr>
          <w:rFonts w:ascii="Times New Roman" w:hAnsi="Times New Roman" w:cs="Times New Roman"/>
          <w:b/>
          <w:lang w:val="en-CA"/>
        </w:rPr>
      </w:pPr>
    </w:p>
    <w:p w14:paraId="38E270D2" w14:textId="77777777" w:rsidR="005F6406" w:rsidRPr="00CC5771" w:rsidRDefault="005F6406" w:rsidP="004D0F4E">
      <w:pPr>
        <w:spacing w:after="240" w:line="480" w:lineRule="auto"/>
        <w:rPr>
          <w:rFonts w:ascii="Times New Roman" w:hAnsi="Times New Roman" w:cs="Times New Roman"/>
          <w:b/>
          <w:lang w:val="en-CA"/>
        </w:rPr>
      </w:pPr>
      <w:r w:rsidRPr="00CC5771">
        <w:rPr>
          <w:rFonts w:ascii="Times New Roman" w:hAnsi="Times New Roman" w:cs="Times New Roman"/>
          <w:b/>
          <w:lang w:val="en-CA"/>
        </w:rPr>
        <w:br w:type="page"/>
      </w:r>
    </w:p>
    <w:p w14:paraId="75C8B961" w14:textId="696A94FC" w:rsidR="001E7E14" w:rsidRPr="00CC5771" w:rsidRDefault="001E7E14" w:rsidP="004D0F4E">
      <w:pPr>
        <w:spacing w:after="240" w:line="480" w:lineRule="auto"/>
        <w:rPr>
          <w:rFonts w:ascii="Times New Roman" w:hAnsi="Times New Roman" w:cs="Times New Roman"/>
          <w:b/>
          <w:lang w:val="en-CA"/>
        </w:rPr>
      </w:pPr>
      <w:r w:rsidRPr="00CC5771">
        <w:rPr>
          <w:rFonts w:ascii="Times New Roman" w:hAnsi="Times New Roman" w:cs="Times New Roman"/>
          <w:b/>
          <w:lang w:val="en-CA"/>
        </w:rPr>
        <w:lastRenderedPageBreak/>
        <w:t>Appendix 2: “Gender Identity” and “Gender Expression” Graphics</w:t>
      </w:r>
    </w:p>
    <w:p w14:paraId="2342E983" w14:textId="1FB2DA28" w:rsidR="00BC5BC7" w:rsidRPr="00CC5771" w:rsidRDefault="008023DE" w:rsidP="004D0F4E">
      <w:pPr>
        <w:spacing w:after="240" w:line="480" w:lineRule="auto"/>
        <w:rPr>
          <w:rFonts w:ascii="Times New Roman" w:hAnsi="Times New Roman" w:cs="Times New Roman"/>
          <w:b/>
          <w:lang w:val="en-CA"/>
        </w:rPr>
      </w:pPr>
      <w:r w:rsidRPr="00CC5771">
        <w:rPr>
          <w:rFonts w:ascii="Times New Roman" w:hAnsi="Times New Roman" w:cs="Times New Roman"/>
          <w:noProof/>
        </w:rPr>
        <w:drawing>
          <wp:inline distT="0" distB="0" distL="0" distR="0" wp14:anchorId="59E2983A" wp14:editId="2565C44B">
            <wp:extent cx="5741532"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8846" t="50997" r="29327" b="25071"/>
                    <a:stretch/>
                  </pic:blipFill>
                  <pic:spPr bwMode="auto">
                    <a:xfrm>
                      <a:off x="0" y="0"/>
                      <a:ext cx="5753587" cy="18517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9CFEE6D" w14:textId="61EB5BFF" w:rsidR="00FD19B3" w:rsidRPr="00CC5771" w:rsidRDefault="00797F67" w:rsidP="004D0F4E">
      <w:pPr>
        <w:spacing w:after="240" w:line="480" w:lineRule="auto"/>
        <w:rPr>
          <w:rFonts w:ascii="Times New Roman" w:hAnsi="Times New Roman" w:cs="Times New Roman"/>
          <w:lang w:val="en-CA"/>
        </w:rPr>
      </w:pPr>
      <w:r w:rsidRPr="00CC5771">
        <w:rPr>
          <w:rFonts w:ascii="Times New Roman" w:hAnsi="Times New Roman" w:cs="Times New Roman"/>
          <w:b/>
          <w:lang w:val="en-CA"/>
        </w:rPr>
        <w:t xml:space="preserve">Figure </w:t>
      </w:r>
      <w:r w:rsidR="00D84D65">
        <w:rPr>
          <w:rFonts w:ascii="Times New Roman" w:hAnsi="Times New Roman" w:cs="Times New Roman"/>
          <w:b/>
          <w:lang w:val="en-CA"/>
        </w:rPr>
        <w:t>2</w:t>
      </w:r>
      <w:r w:rsidR="00AF6A8B">
        <w:rPr>
          <w:rFonts w:ascii="Times New Roman" w:hAnsi="Times New Roman" w:cs="Times New Roman"/>
          <w:b/>
          <w:lang w:val="en-CA"/>
        </w:rPr>
        <w:t> </w:t>
      </w:r>
      <w:r w:rsidRPr="00461619">
        <w:rPr>
          <w:rFonts w:ascii="Times New Roman" w:hAnsi="Times New Roman" w:cs="Times New Roman"/>
          <w:lang w:val="en-CA"/>
        </w:rPr>
        <w:t>Gender Spectrum and Gender Fluidity.</w:t>
      </w:r>
      <w:r>
        <w:rPr>
          <w:rFonts w:ascii="Times New Roman" w:hAnsi="Times New Roman" w:cs="Times New Roman"/>
          <w:b/>
          <w:lang w:val="en-CA"/>
        </w:rPr>
        <w:t xml:space="preserve"> </w:t>
      </w:r>
      <w:r w:rsidR="00FD19B3" w:rsidRPr="00CC5771">
        <w:rPr>
          <w:rFonts w:ascii="Times New Roman" w:hAnsi="Times New Roman" w:cs="Times New Roman"/>
          <w:lang w:val="en-CA"/>
        </w:rPr>
        <w:t xml:space="preserve">Source: Ottawa-Carleton District School Board, </w:t>
      </w:r>
      <w:r w:rsidR="00FD19B3" w:rsidRPr="00CC5771">
        <w:rPr>
          <w:rFonts w:ascii="Times New Roman" w:hAnsi="Times New Roman" w:cs="Times New Roman"/>
          <w:i/>
          <w:lang w:val="en-CA"/>
        </w:rPr>
        <w:t>Gender Identity and Gender Expression: Guide to Support our Students</w:t>
      </w:r>
      <w:r w:rsidR="00FD19B3" w:rsidRPr="00CC5771">
        <w:rPr>
          <w:rFonts w:ascii="Times New Roman" w:hAnsi="Times New Roman" w:cs="Times New Roman"/>
          <w:lang w:val="en-CA"/>
        </w:rPr>
        <w:t xml:space="preserve"> (2016)</w:t>
      </w:r>
      <w:r w:rsidR="00AF6A8B">
        <w:rPr>
          <w:rFonts w:ascii="Times New Roman" w:hAnsi="Times New Roman" w:cs="Times New Roman"/>
          <w:lang w:val="en-CA"/>
        </w:rPr>
        <w:t>:</w:t>
      </w:r>
      <w:r w:rsidR="00FD19B3" w:rsidRPr="00CC5771">
        <w:rPr>
          <w:rFonts w:ascii="Times New Roman" w:hAnsi="Times New Roman" w:cs="Times New Roman"/>
          <w:lang w:val="en-CA"/>
        </w:rPr>
        <w:t xml:space="preserve"> 7.</w:t>
      </w:r>
    </w:p>
    <w:p w14:paraId="0BB7B599" w14:textId="2020A6FC" w:rsidR="00D97E6B" w:rsidRPr="00CC5771" w:rsidRDefault="001320A6" w:rsidP="004D0F4E">
      <w:pPr>
        <w:spacing w:after="240" w:line="480" w:lineRule="auto"/>
        <w:rPr>
          <w:rFonts w:ascii="Times New Roman" w:hAnsi="Times New Roman" w:cs="Times New Roman"/>
          <w:lang w:val="en-CA"/>
        </w:rPr>
      </w:pPr>
      <w:r w:rsidRPr="00CC5771">
        <w:rPr>
          <w:rFonts w:ascii="Times New Roman" w:hAnsi="Times New Roman" w:cs="Times New Roman"/>
          <w:noProof/>
        </w:rPr>
        <w:drawing>
          <wp:inline distT="0" distB="0" distL="0" distR="0" wp14:anchorId="733AC8D2" wp14:editId="31371D45">
            <wp:extent cx="3195782" cy="380012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9808" t="7775" r="30609" b="8548"/>
                    <a:stretch/>
                  </pic:blipFill>
                  <pic:spPr bwMode="auto">
                    <a:xfrm>
                      <a:off x="0" y="0"/>
                      <a:ext cx="3218618" cy="382728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96FC26E" w14:textId="4C45F625" w:rsidR="00514914" w:rsidRPr="00CC5771" w:rsidRDefault="00797F67" w:rsidP="004D0F4E">
      <w:pPr>
        <w:spacing w:after="240" w:line="480" w:lineRule="auto"/>
        <w:rPr>
          <w:rFonts w:ascii="Times New Roman" w:hAnsi="Times New Roman" w:cs="Times New Roman"/>
          <w:lang w:val="en-CA"/>
        </w:rPr>
      </w:pPr>
      <w:r w:rsidRPr="00CC5771">
        <w:rPr>
          <w:rFonts w:ascii="Times New Roman" w:hAnsi="Times New Roman" w:cs="Times New Roman"/>
          <w:b/>
          <w:bCs/>
          <w:lang w:val="en-CA"/>
        </w:rPr>
        <w:t xml:space="preserve">Figure </w:t>
      </w:r>
      <w:r w:rsidR="00D84D65">
        <w:rPr>
          <w:rFonts w:ascii="Times New Roman" w:hAnsi="Times New Roman" w:cs="Times New Roman"/>
          <w:b/>
          <w:bCs/>
          <w:lang w:val="en-CA"/>
        </w:rPr>
        <w:t>3</w:t>
      </w:r>
      <w:r w:rsidR="00AF6A8B">
        <w:rPr>
          <w:rFonts w:ascii="Times New Roman" w:hAnsi="Times New Roman" w:cs="Times New Roman"/>
          <w:b/>
          <w:bCs/>
          <w:lang w:val="en-CA"/>
        </w:rPr>
        <w:t> </w:t>
      </w:r>
      <w:r w:rsidRPr="00461619">
        <w:rPr>
          <w:rFonts w:ascii="Times New Roman" w:hAnsi="Times New Roman" w:cs="Times New Roman"/>
          <w:bCs/>
          <w:lang w:val="en-CA"/>
        </w:rPr>
        <w:t xml:space="preserve">The </w:t>
      </w:r>
      <w:proofErr w:type="spellStart"/>
      <w:r w:rsidRPr="00461619">
        <w:rPr>
          <w:rFonts w:ascii="Times New Roman" w:hAnsi="Times New Roman" w:cs="Times New Roman"/>
          <w:bCs/>
          <w:lang w:val="en-CA"/>
        </w:rPr>
        <w:t>Genderbread</w:t>
      </w:r>
      <w:proofErr w:type="spellEnd"/>
      <w:r w:rsidRPr="00461619">
        <w:rPr>
          <w:rFonts w:ascii="Times New Roman" w:hAnsi="Times New Roman" w:cs="Times New Roman"/>
          <w:bCs/>
          <w:lang w:val="en-CA"/>
        </w:rPr>
        <w:t xml:space="preserve"> Person.</w:t>
      </w:r>
      <w:r>
        <w:rPr>
          <w:rFonts w:ascii="Times New Roman" w:hAnsi="Times New Roman" w:cs="Times New Roman"/>
          <w:b/>
          <w:bCs/>
          <w:lang w:val="en-CA"/>
        </w:rPr>
        <w:t xml:space="preserve"> </w:t>
      </w:r>
      <w:r w:rsidR="00D97E6B" w:rsidRPr="00CC5771">
        <w:rPr>
          <w:rFonts w:ascii="Times New Roman" w:hAnsi="Times New Roman" w:cs="Times New Roman"/>
          <w:lang w:val="en-CA"/>
        </w:rPr>
        <w:t xml:space="preserve">Source: Ottawa-Carleton District School Board, </w:t>
      </w:r>
      <w:r w:rsidR="00D97E6B" w:rsidRPr="00CC5771">
        <w:rPr>
          <w:rFonts w:ascii="Times New Roman" w:hAnsi="Times New Roman" w:cs="Times New Roman"/>
          <w:i/>
          <w:lang w:val="en-CA"/>
        </w:rPr>
        <w:t>Gender Identity and Gender Expression: Guide to Support our Students</w:t>
      </w:r>
      <w:r w:rsidR="00D97E6B" w:rsidRPr="00CC5771">
        <w:rPr>
          <w:rFonts w:ascii="Times New Roman" w:hAnsi="Times New Roman" w:cs="Times New Roman"/>
          <w:lang w:val="en-CA"/>
        </w:rPr>
        <w:t xml:space="preserve"> (2016)</w:t>
      </w:r>
      <w:r w:rsidR="00AF6A8B">
        <w:rPr>
          <w:rFonts w:ascii="Times New Roman" w:hAnsi="Times New Roman" w:cs="Times New Roman"/>
          <w:lang w:val="en-CA"/>
        </w:rPr>
        <w:t>:</w:t>
      </w:r>
      <w:r w:rsidR="00D97E6B" w:rsidRPr="00CC5771">
        <w:rPr>
          <w:rFonts w:ascii="Times New Roman" w:hAnsi="Times New Roman" w:cs="Times New Roman"/>
          <w:lang w:val="en-CA"/>
        </w:rPr>
        <w:t xml:space="preserve"> 12.</w:t>
      </w:r>
      <w:r w:rsidR="004D070A" w:rsidRPr="00CC5771">
        <w:rPr>
          <w:rFonts w:ascii="Times New Roman" w:hAnsi="Times New Roman" w:cs="Times New Roman"/>
          <w:lang w:val="en-CA"/>
        </w:rPr>
        <w:t xml:space="preserve"> </w:t>
      </w:r>
    </w:p>
    <w:sectPr w:rsidR="00514914" w:rsidRPr="00CC5771" w:rsidSect="00D10993">
      <w:headerReference w:type="even" r:id="rId15"/>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E0FFE" w14:textId="77777777" w:rsidR="00643635" w:rsidRDefault="00643635" w:rsidP="009432AF">
      <w:r>
        <w:separator/>
      </w:r>
    </w:p>
  </w:endnote>
  <w:endnote w:type="continuationSeparator" w:id="0">
    <w:p w14:paraId="4142E700" w14:textId="77777777" w:rsidR="00643635" w:rsidRDefault="00643635" w:rsidP="0094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8642" w14:textId="77777777" w:rsidR="00295F24" w:rsidRDefault="00295F24" w:rsidP="009432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F6E71" w14:textId="77777777" w:rsidR="00295F24" w:rsidRDefault="00295F24" w:rsidP="009432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50533" w14:textId="77777777" w:rsidR="00643635" w:rsidRDefault="00643635" w:rsidP="009432AF">
      <w:r>
        <w:separator/>
      </w:r>
    </w:p>
  </w:footnote>
  <w:footnote w:type="continuationSeparator" w:id="0">
    <w:p w14:paraId="7099E040" w14:textId="77777777" w:rsidR="00643635" w:rsidRDefault="00643635" w:rsidP="009432AF">
      <w:r>
        <w:continuationSeparator/>
      </w:r>
    </w:p>
  </w:footnote>
  <w:footnote w:id="1">
    <w:p w14:paraId="6B36D07F" w14:textId="7780B1D7" w:rsidR="00295F24" w:rsidRPr="00982FFA" w:rsidRDefault="00295F24" w:rsidP="00495630">
      <w:pPr>
        <w:pStyle w:val="FootnoteText"/>
        <w:spacing w:after="80"/>
        <w:rPr>
          <w:sz w:val="20"/>
          <w:szCs w:val="20"/>
          <w:lang w:val="en-CA"/>
        </w:rPr>
      </w:pPr>
      <w:r w:rsidRPr="00982FFA">
        <w:rPr>
          <w:rStyle w:val="FootnoteReference"/>
          <w:sz w:val="20"/>
          <w:szCs w:val="20"/>
          <w:lang w:val="en-CA"/>
        </w:rPr>
        <w:t>*</w:t>
      </w:r>
      <w:r w:rsidRPr="00982FFA">
        <w:rPr>
          <w:sz w:val="20"/>
          <w:szCs w:val="20"/>
          <w:lang w:val="en-CA"/>
        </w:rPr>
        <w:t xml:space="preserve"> </w:t>
      </w:r>
      <w:r w:rsidRPr="00982FFA">
        <w:rPr>
          <w:rFonts w:ascii="Times New Roman" w:hAnsi="Times New Roman" w:cs="Times New Roman"/>
          <w:sz w:val="20"/>
          <w:szCs w:val="20"/>
          <w:lang w:val="en-CA"/>
        </w:rPr>
        <w:t xml:space="preserve">This research was funded by a grant from the Social Sciences and Humanities Research Council of Canada as well as internal seed grants from the University of Ottawa and Queen’s University. The authors wish to thank Florence Ashley, Gwen Benaway, Brenda Cossman, Jula Hughes, Dan Irving, Ido Katri, Jake Pyne, Samuel Singer, participants of the </w:t>
      </w:r>
      <w:r w:rsidRPr="00982FFA">
        <w:rPr>
          <w:rFonts w:ascii="Times New Roman" w:hAnsi="Times New Roman" w:cs="Times New Roman"/>
          <w:i/>
          <w:iCs/>
          <w:sz w:val="20"/>
          <w:szCs w:val="20"/>
          <w:lang w:val="en-CA"/>
        </w:rPr>
        <w:t>On the Margins of Trans Legal Change Conference</w:t>
      </w:r>
      <w:r w:rsidRPr="00982FFA">
        <w:rPr>
          <w:rFonts w:ascii="Times New Roman" w:hAnsi="Times New Roman" w:cs="Times New Roman"/>
          <w:sz w:val="20"/>
          <w:szCs w:val="20"/>
          <w:lang w:val="en-CA"/>
        </w:rPr>
        <w:t>, and the two anonymous peer reviewers for their thoughtful suggestions on earlier drafts. The authors also thank Maya Fernández (JD 2020, University of Ottawa) for her research assistance. We also acknowledge school board staff who responded to our queries.</w:t>
      </w:r>
    </w:p>
  </w:footnote>
  <w:footnote w:id="2">
    <w:p w14:paraId="0838D61B" w14:textId="588FB5B6"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Kyle Kirkup, “The origins of gender identity and gender expression in Anglo-American legal discourse,” </w:t>
      </w:r>
      <w:r w:rsidRPr="00461619">
        <w:rPr>
          <w:rFonts w:ascii="Times New Roman" w:hAnsi="Times New Roman" w:cs="Times New Roman"/>
          <w:i/>
          <w:sz w:val="20"/>
          <w:szCs w:val="20"/>
          <w:lang w:val="en-CA"/>
        </w:rPr>
        <w:t>University of Toronto Law Journal</w:t>
      </w:r>
      <w:r w:rsidRPr="00982FFA">
        <w:rPr>
          <w:rFonts w:ascii="Times New Roman" w:hAnsi="Times New Roman" w:cs="Times New Roman"/>
          <w:sz w:val="20"/>
          <w:szCs w:val="20"/>
          <w:lang w:val="en-CA"/>
        </w:rPr>
        <w:t xml:space="preserve"> 68, no. 1 (2018): 80 [Kirkup, “Origins”].</w:t>
      </w:r>
    </w:p>
  </w:footnote>
  <w:footnote w:id="3">
    <w:p w14:paraId="5921B5B6" w14:textId="36D2BA42"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Michael Lipsky, </w:t>
      </w:r>
      <w:r w:rsidRPr="00982FFA">
        <w:rPr>
          <w:rFonts w:ascii="Times New Roman" w:hAnsi="Times New Roman" w:cs="Times New Roman"/>
          <w:i/>
          <w:iCs/>
          <w:sz w:val="20"/>
          <w:szCs w:val="20"/>
          <w:lang w:val="en-CA"/>
        </w:rPr>
        <w:t>Street-Level Bureaucracy: Dilemmas of the Individual in Public Services</w:t>
      </w:r>
      <w:r w:rsidRPr="00982FFA">
        <w:rPr>
          <w:rFonts w:ascii="Times New Roman" w:hAnsi="Times New Roman" w:cs="Times New Roman"/>
          <w:sz w:val="20"/>
          <w:szCs w:val="20"/>
          <w:lang w:val="en-CA"/>
        </w:rPr>
        <w:t xml:space="preserve"> (New York: Russell Sage Foundation, 1980), xii. For other examples of socio-legal studies approaches to everyday law, see Patricia </w:t>
      </w:r>
      <w:proofErr w:type="spellStart"/>
      <w:r w:rsidRPr="00982FFA">
        <w:rPr>
          <w:rFonts w:ascii="Times New Roman" w:hAnsi="Times New Roman" w:cs="Times New Roman"/>
          <w:sz w:val="20"/>
          <w:szCs w:val="20"/>
          <w:lang w:val="en-CA"/>
        </w:rPr>
        <w:t>Ewick</w:t>
      </w:r>
      <w:proofErr w:type="spellEnd"/>
      <w:r w:rsidRPr="00982FFA">
        <w:rPr>
          <w:rFonts w:ascii="Times New Roman" w:hAnsi="Times New Roman" w:cs="Times New Roman"/>
          <w:sz w:val="20"/>
          <w:szCs w:val="20"/>
          <w:lang w:val="en-CA"/>
        </w:rPr>
        <w:t xml:space="preserve"> and Susan S. Silbey, “Conformity, contestation and resistance: An account of legal consciousness,” </w:t>
      </w:r>
      <w:r w:rsidRPr="00461619">
        <w:rPr>
          <w:rFonts w:ascii="Times New Roman" w:hAnsi="Times New Roman" w:cs="Times New Roman"/>
          <w:i/>
          <w:sz w:val="20"/>
          <w:szCs w:val="20"/>
          <w:lang w:val="en-CA"/>
        </w:rPr>
        <w:t>New England Law Review</w:t>
      </w:r>
      <w:r w:rsidRPr="00982FFA">
        <w:rPr>
          <w:rFonts w:ascii="Times New Roman" w:hAnsi="Times New Roman" w:cs="Times New Roman"/>
          <w:sz w:val="20"/>
          <w:szCs w:val="20"/>
          <w:lang w:val="en-CA"/>
        </w:rPr>
        <w:t xml:space="preserve"> 26 (1992): 731; William L. F. </w:t>
      </w:r>
      <w:proofErr w:type="spellStart"/>
      <w:r w:rsidRPr="00982FFA">
        <w:rPr>
          <w:rFonts w:ascii="Times New Roman" w:hAnsi="Times New Roman" w:cs="Times New Roman"/>
          <w:sz w:val="20"/>
          <w:szCs w:val="20"/>
          <w:lang w:val="en-CA"/>
        </w:rPr>
        <w:t>Felstiner</w:t>
      </w:r>
      <w:proofErr w:type="spellEnd"/>
      <w:r w:rsidRPr="00982FFA">
        <w:rPr>
          <w:rFonts w:ascii="Times New Roman" w:hAnsi="Times New Roman" w:cs="Times New Roman"/>
          <w:sz w:val="20"/>
          <w:szCs w:val="20"/>
          <w:lang w:val="en-CA"/>
        </w:rPr>
        <w:t xml:space="preserve">, Richard L. Abel, and Austin Sarat, “The emergence and transformation of disputes: Naming, blaming, and claiming” </w:t>
      </w:r>
      <w:r w:rsidRPr="00461619">
        <w:rPr>
          <w:rFonts w:ascii="Times New Roman" w:hAnsi="Times New Roman" w:cs="Times New Roman"/>
          <w:i/>
          <w:sz w:val="20"/>
          <w:szCs w:val="20"/>
          <w:lang w:val="en-CA"/>
        </w:rPr>
        <w:t>Law &amp; Society Review</w:t>
      </w:r>
      <w:r w:rsidRPr="00982FFA">
        <w:rPr>
          <w:rFonts w:ascii="Times New Roman" w:hAnsi="Times New Roman" w:cs="Times New Roman"/>
          <w:sz w:val="20"/>
          <w:szCs w:val="20"/>
          <w:lang w:val="en-CA"/>
        </w:rPr>
        <w:t xml:space="preserve"> 15, no. 3/4 (1980): 631; Robert Leckey, </w:t>
      </w:r>
      <w:r w:rsidRPr="00982FFA">
        <w:rPr>
          <w:rFonts w:ascii="Times New Roman" w:hAnsi="Times New Roman" w:cs="Times New Roman"/>
          <w:i/>
          <w:sz w:val="20"/>
          <w:szCs w:val="20"/>
          <w:lang w:val="en-CA"/>
        </w:rPr>
        <w:t>Contextual subjects: Family, state, and relational theory</w:t>
      </w:r>
      <w:r w:rsidRPr="00982FFA">
        <w:rPr>
          <w:rFonts w:ascii="Times New Roman" w:hAnsi="Times New Roman" w:cs="Times New Roman"/>
          <w:sz w:val="20"/>
          <w:szCs w:val="20"/>
          <w:lang w:val="en-CA"/>
        </w:rPr>
        <w:t xml:space="preserve"> (Toronto: University of Toronto Press, 2008); Brenda Cossman, </w:t>
      </w:r>
      <w:r w:rsidRPr="00982FFA">
        <w:rPr>
          <w:rFonts w:ascii="Times New Roman" w:hAnsi="Times New Roman" w:cs="Times New Roman"/>
          <w:i/>
          <w:iCs/>
          <w:sz w:val="20"/>
          <w:szCs w:val="20"/>
          <w:lang w:val="en-CA"/>
        </w:rPr>
        <w:t xml:space="preserve">Sexual Citizens: The Legal and Cultural Regulation of Sex and Belonging </w:t>
      </w:r>
      <w:r w:rsidRPr="00982FFA">
        <w:rPr>
          <w:rFonts w:ascii="Times New Roman" w:hAnsi="Times New Roman" w:cs="Times New Roman"/>
          <w:sz w:val="20"/>
          <w:szCs w:val="20"/>
          <w:lang w:val="en-CA"/>
        </w:rPr>
        <w:t>(Redwood City: Stanford University Press, 2007); and Mariana Valverde</w:t>
      </w:r>
      <w:r w:rsidRPr="00982FFA">
        <w:rPr>
          <w:rFonts w:ascii="Times New Roman" w:hAnsi="Times New Roman" w:cs="Times New Roman"/>
          <w:i/>
          <w:sz w:val="20"/>
          <w:szCs w:val="20"/>
          <w:lang w:val="en-CA"/>
        </w:rPr>
        <w:t>, Everyday law on the street: City governance in the age of diversity</w:t>
      </w:r>
      <w:r w:rsidRPr="00982FFA">
        <w:rPr>
          <w:rFonts w:ascii="Times New Roman" w:hAnsi="Times New Roman" w:cs="Times New Roman"/>
          <w:sz w:val="20"/>
          <w:szCs w:val="20"/>
          <w:lang w:val="en-CA"/>
        </w:rPr>
        <w:t xml:space="preserve"> (Chicago: University of Chicago Press, 2012).</w:t>
      </w:r>
    </w:p>
  </w:footnote>
  <w:footnote w:id="4">
    <w:p w14:paraId="0286009C" w14:textId="5DE29B9C"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w:t>
      </w:r>
      <w:r w:rsidRPr="00982FFA">
        <w:rPr>
          <w:rFonts w:ascii="Times New Roman" w:hAnsi="Times New Roman" w:cs="Times New Roman"/>
          <w:i/>
          <w:iCs/>
          <w:sz w:val="20"/>
          <w:szCs w:val="20"/>
          <w:lang w:val="en-CA"/>
        </w:rPr>
        <w:t xml:space="preserve">Toby’s Act </w:t>
      </w:r>
      <w:r w:rsidRPr="00982FFA">
        <w:rPr>
          <w:rFonts w:ascii="Times New Roman" w:hAnsi="Times New Roman" w:cs="Times New Roman"/>
          <w:sz w:val="20"/>
          <w:szCs w:val="20"/>
          <w:lang w:val="en-CA"/>
        </w:rPr>
        <w:t>(Right to be Free from Discrimination and Harassment Because of Gender Identity or Gender Expression), SO 2012, c 7 [</w:t>
      </w:r>
      <w:r w:rsidRPr="00982FFA">
        <w:rPr>
          <w:rFonts w:ascii="Times New Roman" w:hAnsi="Times New Roman" w:cs="Times New Roman"/>
          <w:i/>
          <w:iCs/>
          <w:sz w:val="20"/>
          <w:szCs w:val="20"/>
          <w:lang w:val="en-CA"/>
        </w:rPr>
        <w:t>Toby’s Act</w:t>
      </w:r>
      <w:r w:rsidRPr="00982FFA">
        <w:rPr>
          <w:rFonts w:ascii="Times New Roman" w:hAnsi="Times New Roman" w:cs="Times New Roman"/>
          <w:sz w:val="20"/>
          <w:szCs w:val="20"/>
          <w:lang w:val="en-CA"/>
        </w:rPr>
        <w:t>].</w:t>
      </w:r>
    </w:p>
  </w:footnote>
  <w:footnote w:id="5">
    <w:p w14:paraId="5C037E90" w14:textId="3509B035"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For further discussion of Ontario’s education system, see Wayne Martino et al., “Mapping transgender </w:t>
      </w:r>
      <w:r w:rsidRPr="00982FFA">
        <w:rPr>
          <w:rFonts w:ascii="Times New Roman" w:hAnsi="Times New Roman" w:cs="Times New Roman"/>
          <w:i/>
          <w:iCs/>
          <w:sz w:val="20"/>
          <w:szCs w:val="20"/>
          <w:lang w:val="en-CA"/>
        </w:rPr>
        <w:t>policyscapes</w:t>
      </w:r>
      <w:r w:rsidRPr="00982FFA">
        <w:rPr>
          <w:rFonts w:ascii="Times New Roman" w:hAnsi="Times New Roman" w:cs="Times New Roman"/>
          <w:sz w:val="20"/>
          <w:szCs w:val="20"/>
          <w:lang w:val="en-CA"/>
        </w:rPr>
        <w:t xml:space="preserve">: a policy analysis of transgender inclusivity in the education system in Ontario” </w:t>
      </w:r>
      <w:r w:rsidRPr="00461619">
        <w:rPr>
          <w:rFonts w:ascii="Times New Roman" w:hAnsi="Times New Roman" w:cs="Times New Roman"/>
          <w:i/>
          <w:sz w:val="20"/>
          <w:szCs w:val="20"/>
          <w:lang w:val="en-CA"/>
        </w:rPr>
        <w:t>Journal of Education Policy</w:t>
      </w:r>
      <w:r w:rsidRPr="00982FFA">
        <w:rPr>
          <w:rFonts w:ascii="Times New Roman" w:hAnsi="Times New Roman" w:cs="Times New Roman"/>
          <w:sz w:val="20"/>
          <w:szCs w:val="20"/>
          <w:lang w:val="en-CA"/>
        </w:rPr>
        <w:t xml:space="preserve"> 34</w:t>
      </w:r>
      <w:r w:rsidR="00BF6961">
        <w:rPr>
          <w:rFonts w:ascii="Times New Roman" w:hAnsi="Times New Roman" w:cs="Times New Roman"/>
          <w:sz w:val="20"/>
          <w:szCs w:val="20"/>
          <w:lang w:val="en-CA"/>
        </w:rPr>
        <w:t xml:space="preserve"> (2019)</w:t>
      </w:r>
      <w:r w:rsidRPr="00982FFA">
        <w:rPr>
          <w:rFonts w:ascii="Times New Roman" w:hAnsi="Times New Roman" w:cs="Times New Roman"/>
          <w:sz w:val="20"/>
          <w:szCs w:val="20"/>
          <w:lang w:val="en-CA"/>
        </w:rPr>
        <w:t xml:space="preserve">: 302; and Lee Airton et al., “What is ‘gender expression’? How a new and nebulous human rights construct is taking shape in Ontario school board policy documents,” </w:t>
      </w:r>
      <w:r w:rsidRPr="00982FFA">
        <w:rPr>
          <w:rFonts w:ascii="Times New Roman" w:hAnsi="Times New Roman" w:cs="Times New Roman"/>
          <w:i/>
          <w:sz w:val="20"/>
          <w:szCs w:val="20"/>
          <w:lang w:val="en-CA"/>
        </w:rPr>
        <w:t xml:space="preserve">Canadian Journal of Education/Revue </w:t>
      </w:r>
      <w:r w:rsidRPr="00982FFA">
        <w:rPr>
          <w:rFonts w:ascii="Times New Roman" w:hAnsi="Times New Roman" w:cs="Times New Roman"/>
          <w:i/>
          <w:sz w:val="20"/>
          <w:szCs w:val="20"/>
          <w:lang w:val="fr-CA"/>
        </w:rPr>
        <w:t>Canadienne de l’éducation</w:t>
      </w:r>
      <w:r w:rsidRPr="00982FFA">
        <w:rPr>
          <w:rFonts w:ascii="Times New Roman" w:hAnsi="Times New Roman" w:cs="Times New Roman"/>
          <w:sz w:val="20"/>
          <w:szCs w:val="20"/>
          <w:lang w:val="en-CA"/>
        </w:rPr>
        <w:t xml:space="preserve"> 42, no. 4 (2019): 1154.</w:t>
      </w:r>
    </w:p>
  </w:footnote>
  <w:footnote w:id="6">
    <w:p w14:paraId="09400FC5" w14:textId="77777777"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RSO 1990, c H 19 [</w:t>
      </w:r>
      <w:r w:rsidRPr="00982FFA">
        <w:rPr>
          <w:rFonts w:ascii="Times New Roman" w:hAnsi="Times New Roman" w:cs="Times New Roman"/>
          <w:i/>
          <w:sz w:val="20"/>
          <w:szCs w:val="20"/>
          <w:lang w:val="en-CA"/>
        </w:rPr>
        <w:t>OHRC</w:t>
      </w:r>
      <w:r w:rsidRPr="00982FFA">
        <w:rPr>
          <w:rFonts w:ascii="Times New Roman" w:hAnsi="Times New Roman" w:cs="Times New Roman"/>
          <w:sz w:val="20"/>
          <w:szCs w:val="20"/>
          <w:lang w:val="en-CA"/>
        </w:rPr>
        <w:t xml:space="preserve">]. </w:t>
      </w:r>
    </w:p>
  </w:footnote>
  <w:footnote w:id="7">
    <w:p w14:paraId="68F1C998" w14:textId="7C7CEA22"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Ontario Human Rights Commission (OHRC), </w:t>
      </w:r>
      <w:r w:rsidRPr="00982FFA">
        <w:rPr>
          <w:rFonts w:ascii="Times New Roman" w:hAnsi="Times New Roman" w:cs="Times New Roman"/>
          <w:i/>
          <w:sz w:val="20"/>
          <w:szCs w:val="20"/>
          <w:lang w:val="en-CA"/>
        </w:rPr>
        <w:t>Policy on Preventing Discrimination Because of Gender Identity and Gender Expression</w:t>
      </w:r>
      <w:r w:rsidRPr="00982FFA">
        <w:rPr>
          <w:rFonts w:ascii="Times New Roman" w:hAnsi="Times New Roman" w:cs="Times New Roman"/>
          <w:sz w:val="20"/>
          <w:szCs w:val="20"/>
          <w:lang w:val="en-CA"/>
        </w:rPr>
        <w:t xml:space="preserve"> (Toronto: OHRC, 2012) at 7 [OHRC, </w:t>
      </w:r>
      <w:r w:rsidRPr="00982FFA">
        <w:rPr>
          <w:rFonts w:ascii="Times New Roman" w:hAnsi="Times New Roman" w:cs="Times New Roman"/>
          <w:i/>
          <w:sz w:val="20"/>
          <w:szCs w:val="20"/>
          <w:lang w:val="en-CA"/>
        </w:rPr>
        <w:t>Gender Identity and Gender Expression</w:t>
      </w:r>
      <w:r w:rsidRPr="00982FFA">
        <w:rPr>
          <w:rFonts w:ascii="Times New Roman" w:hAnsi="Times New Roman" w:cs="Times New Roman"/>
          <w:sz w:val="20"/>
          <w:szCs w:val="20"/>
          <w:lang w:val="en-CA"/>
        </w:rPr>
        <w:t>].</w:t>
      </w:r>
    </w:p>
  </w:footnote>
  <w:footnote w:id="8">
    <w:p w14:paraId="1B76DC5D" w14:textId="6E172E26"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See </w:t>
      </w:r>
      <w:r w:rsidRPr="00982FFA">
        <w:rPr>
          <w:rFonts w:ascii="Times New Roman" w:hAnsi="Times New Roman" w:cs="Times New Roman"/>
          <w:i/>
          <w:sz w:val="20"/>
          <w:szCs w:val="20"/>
          <w:lang w:val="en-CA"/>
        </w:rPr>
        <w:t>Quebec (</w:t>
      </w:r>
      <w:r w:rsidRPr="00982FFA">
        <w:rPr>
          <w:rFonts w:ascii="Times New Roman" w:hAnsi="Times New Roman" w:cs="Times New Roman"/>
          <w:i/>
          <w:sz w:val="20"/>
          <w:szCs w:val="20"/>
          <w:lang w:val="fr-CA"/>
        </w:rPr>
        <w:t>Commission des droits de la personne</w:t>
      </w:r>
      <w:r w:rsidRPr="00982FFA">
        <w:rPr>
          <w:rFonts w:ascii="Times New Roman" w:hAnsi="Times New Roman" w:cs="Times New Roman"/>
          <w:i/>
          <w:sz w:val="20"/>
          <w:szCs w:val="20"/>
          <w:lang w:val="en-CA"/>
        </w:rPr>
        <w:t>) v Anglsberger</w:t>
      </w:r>
      <w:r w:rsidRPr="00982FFA">
        <w:rPr>
          <w:rFonts w:ascii="Times New Roman" w:hAnsi="Times New Roman" w:cs="Times New Roman"/>
          <w:sz w:val="20"/>
          <w:szCs w:val="20"/>
          <w:lang w:val="en-CA"/>
        </w:rPr>
        <w:t xml:space="preserve"> (1982), 3 CHRR D/892, 1982 CarswellQue 358 (CP) [</w:t>
      </w:r>
      <w:r w:rsidRPr="00982FFA">
        <w:rPr>
          <w:rFonts w:ascii="Times New Roman" w:hAnsi="Times New Roman" w:cs="Times New Roman"/>
          <w:i/>
          <w:sz w:val="20"/>
          <w:szCs w:val="20"/>
          <w:lang w:val="en-CA"/>
        </w:rPr>
        <w:t>Anglsberger</w:t>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Québec (</w:t>
      </w:r>
      <w:r w:rsidRPr="00982FFA">
        <w:rPr>
          <w:rFonts w:ascii="Times New Roman" w:hAnsi="Times New Roman" w:cs="Times New Roman"/>
          <w:i/>
          <w:sz w:val="20"/>
          <w:szCs w:val="20"/>
          <w:lang w:val="fr-CA"/>
        </w:rPr>
        <w:t>Commission des droits de la personne</w:t>
      </w:r>
      <w:r w:rsidRPr="00982FFA">
        <w:rPr>
          <w:rFonts w:ascii="Times New Roman" w:hAnsi="Times New Roman" w:cs="Times New Roman"/>
          <w:i/>
          <w:sz w:val="20"/>
          <w:szCs w:val="20"/>
          <w:lang w:val="en-CA"/>
        </w:rPr>
        <w:t xml:space="preserve"> &amp; </w:t>
      </w:r>
      <w:r w:rsidRPr="00982FFA">
        <w:rPr>
          <w:rFonts w:ascii="Times New Roman" w:hAnsi="Times New Roman" w:cs="Times New Roman"/>
          <w:i/>
          <w:sz w:val="20"/>
          <w:szCs w:val="20"/>
          <w:lang w:val="fr-CA"/>
        </w:rPr>
        <w:t>des droits de la jeunesse</w:t>
      </w:r>
      <w:r w:rsidRPr="00982FFA">
        <w:rPr>
          <w:rFonts w:ascii="Times New Roman" w:hAnsi="Times New Roman" w:cs="Times New Roman"/>
          <w:i/>
          <w:sz w:val="20"/>
          <w:szCs w:val="20"/>
          <w:lang w:val="en-CA"/>
        </w:rPr>
        <w:t xml:space="preserve">) c </w:t>
      </w:r>
      <w:r w:rsidRPr="00982FFA">
        <w:rPr>
          <w:rFonts w:ascii="Times New Roman" w:hAnsi="Times New Roman" w:cs="Times New Roman"/>
          <w:i/>
          <w:sz w:val="20"/>
          <w:szCs w:val="20"/>
          <w:lang w:val="fr-CA"/>
        </w:rPr>
        <w:t>Maison des jeunes A-Ma-Baie inc</w:t>
      </w:r>
      <w:r w:rsidRPr="00982FFA">
        <w:rPr>
          <w:rFonts w:ascii="Times New Roman" w:hAnsi="Times New Roman" w:cs="Times New Roman"/>
          <w:sz w:val="20"/>
          <w:szCs w:val="20"/>
          <w:lang w:val="en-CA"/>
        </w:rPr>
        <w:t xml:space="preserve"> (1998), 33 CHRR D/262, 1998 CarswellQue 2602 (TDPQ); </w:t>
      </w:r>
      <w:r w:rsidRPr="00982FFA">
        <w:rPr>
          <w:rFonts w:ascii="Times New Roman" w:hAnsi="Times New Roman" w:cs="Times New Roman"/>
          <w:i/>
          <w:sz w:val="20"/>
          <w:szCs w:val="20"/>
          <w:lang w:val="en-CA"/>
        </w:rPr>
        <w:t>Ferris v Office and Technical Employees Union, Local 15</w:t>
      </w:r>
      <w:r w:rsidRPr="00982FFA">
        <w:rPr>
          <w:rFonts w:ascii="Times New Roman" w:hAnsi="Times New Roman" w:cs="Times New Roman"/>
          <w:sz w:val="20"/>
          <w:szCs w:val="20"/>
          <w:lang w:val="en-CA"/>
        </w:rPr>
        <w:t xml:space="preserve">, [1999] BCHRTD no 55; </w:t>
      </w:r>
      <w:r w:rsidRPr="00982FFA">
        <w:rPr>
          <w:rFonts w:ascii="Times New Roman" w:hAnsi="Times New Roman" w:cs="Times New Roman"/>
          <w:i/>
          <w:sz w:val="20"/>
          <w:szCs w:val="20"/>
          <w:lang w:val="en-CA"/>
        </w:rPr>
        <w:t>Vancouver Rape Relief v BC Human Rights</w:t>
      </w:r>
      <w:r w:rsidRPr="00982FFA">
        <w:rPr>
          <w:rFonts w:ascii="Times New Roman" w:hAnsi="Times New Roman" w:cs="Times New Roman"/>
          <w:sz w:val="20"/>
          <w:szCs w:val="20"/>
          <w:lang w:val="en-CA"/>
        </w:rPr>
        <w:t xml:space="preserve">, 2000 BCSC 889, 75 CRR (2d) 173); </w:t>
      </w:r>
      <w:r w:rsidRPr="00982FFA">
        <w:rPr>
          <w:rFonts w:ascii="Times New Roman" w:hAnsi="Times New Roman" w:cs="Times New Roman"/>
          <w:i/>
          <w:sz w:val="20"/>
          <w:szCs w:val="20"/>
          <w:lang w:val="en-CA"/>
        </w:rPr>
        <w:t>Kavanagh v Canada (Attorney-General)</w:t>
      </w:r>
      <w:r w:rsidRPr="00982FFA">
        <w:rPr>
          <w:rFonts w:ascii="Times New Roman" w:hAnsi="Times New Roman" w:cs="Times New Roman"/>
          <w:sz w:val="20"/>
          <w:szCs w:val="20"/>
          <w:lang w:val="en-CA"/>
        </w:rPr>
        <w:t xml:space="preserve"> (2001) CHRD no 21 (QL) (CHRT); </w:t>
      </w:r>
      <w:r w:rsidRPr="00982FFA">
        <w:rPr>
          <w:rFonts w:ascii="Times New Roman" w:hAnsi="Times New Roman" w:cs="Times New Roman"/>
          <w:i/>
          <w:sz w:val="20"/>
          <w:szCs w:val="20"/>
          <w:lang w:val="en-CA"/>
        </w:rPr>
        <w:t>Waters v British Columbia (Minister of Health)</w:t>
      </w:r>
      <w:r w:rsidRPr="00982FFA">
        <w:rPr>
          <w:rFonts w:ascii="Times New Roman" w:hAnsi="Times New Roman" w:cs="Times New Roman"/>
          <w:sz w:val="20"/>
          <w:szCs w:val="20"/>
          <w:lang w:val="en-CA"/>
        </w:rPr>
        <w:t xml:space="preserve">, 2003 BCHRT 13, 46 CHRR D/139; </w:t>
      </w:r>
      <w:r w:rsidRPr="00982FFA">
        <w:rPr>
          <w:rFonts w:ascii="Times New Roman" w:hAnsi="Times New Roman" w:cs="Times New Roman"/>
          <w:i/>
          <w:sz w:val="20"/>
          <w:szCs w:val="20"/>
          <w:lang w:val="en-CA"/>
        </w:rPr>
        <w:t>Hogan v Ontario (Health and Long-Term Care)</w:t>
      </w:r>
      <w:r w:rsidRPr="00982FFA">
        <w:rPr>
          <w:rFonts w:ascii="Times New Roman" w:hAnsi="Times New Roman" w:cs="Times New Roman"/>
          <w:sz w:val="20"/>
          <w:szCs w:val="20"/>
          <w:lang w:val="en-CA"/>
        </w:rPr>
        <w:t xml:space="preserve">, 2006 HRTO 32, 58 CHRR D/317; </w:t>
      </w:r>
      <w:r w:rsidRPr="00982FFA">
        <w:rPr>
          <w:rFonts w:ascii="Times New Roman" w:hAnsi="Times New Roman" w:cs="Times New Roman"/>
          <w:i/>
          <w:sz w:val="20"/>
          <w:szCs w:val="20"/>
          <w:lang w:val="en-CA"/>
        </w:rPr>
        <w:t>Forrester v Peel (Regional Municipality) Police Services Board et al</w:t>
      </w:r>
      <w:r w:rsidRPr="00982FFA">
        <w:rPr>
          <w:rFonts w:ascii="Times New Roman" w:hAnsi="Times New Roman" w:cs="Times New Roman"/>
          <w:sz w:val="20"/>
          <w:szCs w:val="20"/>
          <w:lang w:val="en-CA"/>
        </w:rPr>
        <w:t>, 2006 HRTO 13 [</w:t>
      </w:r>
      <w:r w:rsidRPr="00982FFA">
        <w:rPr>
          <w:rFonts w:ascii="Times New Roman" w:hAnsi="Times New Roman" w:cs="Times New Roman"/>
          <w:i/>
          <w:iCs/>
          <w:sz w:val="20"/>
          <w:szCs w:val="20"/>
          <w:lang w:val="en-CA"/>
        </w:rPr>
        <w:t>Forrester</w:t>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Macdonald v Downtown Health Club for Women</w:t>
      </w:r>
      <w:r w:rsidRPr="00982FFA">
        <w:rPr>
          <w:rFonts w:ascii="Times New Roman" w:hAnsi="Times New Roman" w:cs="Times New Roman"/>
          <w:sz w:val="20"/>
          <w:szCs w:val="20"/>
          <w:lang w:val="en-CA"/>
        </w:rPr>
        <w:t xml:space="preserve">, 2009 HRTO 1043; </w:t>
      </w:r>
      <w:r w:rsidRPr="00982FFA">
        <w:rPr>
          <w:rFonts w:ascii="Times New Roman" w:hAnsi="Times New Roman" w:cs="Times New Roman"/>
          <w:i/>
          <w:sz w:val="20"/>
          <w:szCs w:val="20"/>
          <w:lang w:val="en-CA"/>
        </w:rPr>
        <w:t>XY v Ontario</w:t>
      </w:r>
      <w:r w:rsidRPr="00982FFA">
        <w:rPr>
          <w:rFonts w:ascii="Times New Roman" w:hAnsi="Times New Roman" w:cs="Times New Roman"/>
          <w:sz w:val="20"/>
          <w:szCs w:val="20"/>
          <w:lang w:val="en-CA"/>
        </w:rPr>
        <w:t>, 2012 HRTO 726 [</w:t>
      </w:r>
      <w:r w:rsidRPr="00982FFA">
        <w:rPr>
          <w:rFonts w:ascii="Times New Roman" w:hAnsi="Times New Roman" w:cs="Times New Roman"/>
          <w:i/>
          <w:sz w:val="20"/>
          <w:szCs w:val="20"/>
          <w:lang w:val="en-CA"/>
        </w:rPr>
        <w:t>XY</w:t>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CF v Alberta</w:t>
      </w:r>
      <w:r w:rsidRPr="00982FFA">
        <w:rPr>
          <w:rFonts w:ascii="Times New Roman" w:hAnsi="Times New Roman" w:cs="Times New Roman"/>
          <w:sz w:val="20"/>
          <w:szCs w:val="20"/>
          <w:lang w:val="en-CA"/>
        </w:rPr>
        <w:t>, 2014 ABQB 237 [</w:t>
      </w:r>
      <w:r w:rsidRPr="00982FFA">
        <w:rPr>
          <w:rFonts w:ascii="Times New Roman" w:hAnsi="Times New Roman" w:cs="Times New Roman"/>
          <w:i/>
          <w:iCs/>
          <w:sz w:val="20"/>
          <w:szCs w:val="20"/>
          <w:lang w:val="en-CA"/>
        </w:rPr>
        <w:t>CF</w:t>
      </w:r>
      <w:r w:rsidRPr="00982FFA">
        <w:rPr>
          <w:rFonts w:ascii="Times New Roman" w:hAnsi="Times New Roman" w:cs="Times New Roman"/>
          <w:sz w:val="20"/>
          <w:szCs w:val="20"/>
          <w:lang w:val="en-CA"/>
        </w:rPr>
        <w:t xml:space="preserve">]; and </w:t>
      </w:r>
      <w:r w:rsidRPr="00982FFA">
        <w:rPr>
          <w:rFonts w:ascii="Times New Roman" w:hAnsi="Times New Roman" w:cs="Times New Roman"/>
          <w:i/>
          <w:iCs/>
          <w:sz w:val="20"/>
          <w:szCs w:val="20"/>
          <w:lang w:val="en-CA"/>
        </w:rPr>
        <w:t>Dawson</w:t>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v Vancouver Police Board (No. 2)</w:t>
      </w:r>
      <w:r w:rsidRPr="00982FFA">
        <w:rPr>
          <w:rFonts w:ascii="Times New Roman" w:hAnsi="Times New Roman" w:cs="Times New Roman"/>
          <w:sz w:val="20"/>
          <w:szCs w:val="20"/>
          <w:lang w:val="en-CA"/>
        </w:rPr>
        <w:t>, 2015 BCHRT 54 [</w:t>
      </w:r>
      <w:r w:rsidRPr="00982FFA">
        <w:rPr>
          <w:rFonts w:ascii="Times New Roman" w:hAnsi="Times New Roman" w:cs="Times New Roman"/>
          <w:i/>
          <w:iCs/>
          <w:sz w:val="20"/>
          <w:szCs w:val="20"/>
          <w:lang w:val="en-CA"/>
        </w:rPr>
        <w:t>Dawson</w:t>
      </w:r>
      <w:r w:rsidRPr="00982FFA">
        <w:rPr>
          <w:rFonts w:ascii="Times New Roman" w:hAnsi="Times New Roman" w:cs="Times New Roman"/>
          <w:sz w:val="20"/>
          <w:szCs w:val="20"/>
          <w:lang w:val="en-CA"/>
        </w:rPr>
        <w:t>].</w:t>
      </w:r>
    </w:p>
  </w:footnote>
  <w:footnote w:id="9">
    <w:p w14:paraId="0D00DD2C" w14:textId="160FDDA9"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Anglsberger</w:t>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supra</w:t>
      </w:r>
      <w:r w:rsidRPr="00982FFA">
        <w:rPr>
          <w:rFonts w:ascii="Times New Roman" w:hAnsi="Times New Roman" w:cs="Times New Roman"/>
          <w:sz w:val="20"/>
          <w:szCs w:val="20"/>
          <w:lang w:val="en-CA"/>
        </w:rPr>
        <w:t xml:space="preserve"> note 7. </w:t>
      </w:r>
    </w:p>
  </w:footnote>
  <w:footnote w:id="10">
    <w:p w14:paraId="66AB8F30" w14:textId="4FB99E9F"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For a discussion of how anti-discrimination human rights protections, including those based on the category of sex, have always been rooted in notions of performativity, see Ido Katri, “Transgender intrasectionality: Rethinking anti-discrimination law and litigation,” </w:t>
      </w:r>
      <w:r w:rsidRPr="00982FFA">
        <w:rPr>
          <w:rFonts w:ascii="Times New Roman" w:hAnsi="Times New Roman" w:cs="Times New Roman"/>
          <w:i/>
          <w:sz w:val="20"/>
          <w:szCs w:val="20"/>
          <w:lang w:val="en-CA"/>
        </w:rPr>
        <w:t>University of</w:t>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Pennsylvania Journal of Law and Social Change</w:t>
      </w:r>
      <w:r w:rsidRPr="00982FFA">
        <w:rPr>
          <w:rFonts w:ascii="Times New Roman" w:hAnsi="Times New Roman" w:cs="Times New Roman"/>
          <w:sz w:val="20"/>
          <w:szCs w:val="20"/>
          <w:lang w:val="en-CA"/>
        </w:rPr>
        <w:t xml:space="preserve"> 20, no. 1 (2017): 51.</w:t>
      </w:r>
    </w:p>
  </w:footnote>
  <w:footnote w:id="11">
    <w:p w14:paraId="7531968E" w14:textId="77777777"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The Northwest Territories became the first jurisdiction in Canada to expressly recognize “gender identity” as a prohibited ground of discrimination: </w:t>
      </w:r>
      <w:r w:rsidRPr="00982FFA">
        <w:rPr>
          <w:rFonts w:ascii="Times New Roman" w:hAnsi="Times New Roman" w:cs="Times New Roman"/>
          <w:i/>
          <w:sz w:val="20"/>
          <w:szCs w:val="20"/>
          <w:lang w:val="en-CA"/>
        </w:rPr>
        <w:t>Human Rights Act</w:t>
      </w:r>
      <w:r w:rsidRPr="00982FFA">
        <w:rPr>
          <w:rFonts w:ascii="Times New Roman" w:hAnsi="Times New Roman" w:cs="Times New Roman"/>
          <w:sz w:val="20"/>
          <w:szCs w:val="20"/>
          <w:lang w:val="en-CA"/>
        </w:rPr>
        <w:t xml:space="preserve">, SNWT 2002, c 18, s 5(1). </w:t>
      </w:r>
    </w:p>
  </w:footnote>
  <w:footnote w:id="12">
    <w:p w14:paraId="03B24DA5" w14:textId="0C5F0E82"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w:t>
      </w:r>
      <w:r w:rsidRPr="00982FFA">
        <w:rPr>
          <w:rFonts w:ascii="Times New Roman" w:hAnsi="Times New Roman" w:cs="Times New Roman"/>
          <w:i/>
          <w:iCs/>
          <w:sz w:val="20"/>
          <w:szCs w:val="20"/>
          <w:lang w:val="en-CA"/>
        </w:rPr>
        <w:t>Toby’s Act</w:t>
      </w:r>
      <w:r w:rsidRPr="00982FFA">
        <w:rPr>
          <w:rFonts w:ascii="Times New Roman" w:hAnsi="Times New Roman" w:cs="Times New Roman"/>
          <w:sz w:val="20"/>
          <w:szCs w:val="20"/>
          <w:lang w:val="en-CA"/>
        </w:rPr>
        <w:t xml:space="preserve">, </w:t>
      </w:r>
      <w:r w:rsidRPr="00982FFA">
        <w:rPr>
          <w:rFonts w:ascii="Times New Roman" w:hAnsi="Times New Roman" w:cs="Times New Roman"/>
          <w:i/>
          <w:iCs/>
          <w:sz w:val="20"/>
          <w:szCs w:val="20"/>
          <w:lang w:val="en-CA"/>
        </w:rPr>
        <w:t>supra</w:t>
      </w:r>
      <w:r w:rsidRPr="00982FFA">
        <w:rPr>
          <w:rFonts w:ascii="Times New Roman" w:hAnsi="Times New Roman" w:cs="Times New Roman"/>
          <w:sz w:val="20"/>
          <w:szCs w:val="20"/>
          <w:lang w:val="en-CA"/>
        </w:rPr>
        <w:t xml:space="preserve"> note 3.</w:t>
      </w:r>
    </w:p>
  </w:footnote>
  <w:footnote w:id="13">
    <w:p w14:paraId="0A69C0EC" w14:textId="1CB88A64"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Ontario, Legislative Assembly, </w:t>
      </w:r>
      <w:r w:rsidRPr="00982FFA">
        <w:rPr>
          <w:rFonts w:ascii="Times New Roman" w:hAnsi="Times New Roman" w:cs="Times New Roman"/>
          <w:i/>
          <w:sz w:val="20"/>
          <w:szCs w:val="20"/>
          <w:lang w:val="en-CA"/>
        </w:rPr>
        <w:t>Official Report of Debates (Hansard)</w:t>
      </w:r>
      <w:r w:rsidRPr="00982FFA">
        <w:rPr>
          <w:rFonts w:ascii="Times New Roman" w:hAnsi="Times New Roman" w:cs="Times New Roman"/>
          <w:sz w:val="20"/>
          <w:szCs w:val="20"/>
          <w:lang w:val="en-CA"/>
        </w:rPr>
        <w:t xml:space="preserve">, 40th Parl, 1st Sess, No 51 (10 May 2012) at 2295 [Ontario Legislative Assembly]. </w:t>
      </w:r>
    </w:p>
  </w:footnote>
  <w:footnote w:id="14">
    <w:p w14:paraId="161AD09D" w14:textId="7A493FC7"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Kirkup, “Origins,” </w:t>
      </w:r>
      <w:r w:rsidRPr="00982FFA">
        <w:rPr>
          <w:rFonts w:ascii="Times New Roman" w:hAnsi="Times New Roman" w:cs="Times New Roman"/>
          <w:i/>
          <w:iCs/>
          <w:sz w:val="20"/>
          <w:szCs w:val="20"/>
          <w:lang w:val="en-CA"/>
        </w:rPr>
        <w:t>supra</w:t>
      </w:r>
      <w:r w:rsidRPr="00982FFA">
        <w:rPr>
          <w:rFonts w:ascii="Times New Roman" w:hAnsi="Times New Roman" w:cs="Times New Roman"/>
          <w:sz w:val="20"/>
          <w:szCs w:val="20"/>
          <w:lang w:val="en-CA"/>
        </w:rPr>
        <w:t xml:space="preserve"> note 1.</w:t>
      </w:r>
    </w:p>
  </w:footnote>
  <w:footnote w:id="15">
    <w:p w14:paraId="4A5EB987" w14:textId="5C3879D9"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Sujit Choudhry, “Distribution vs. recognition: The case of anti-discrimination laws,” </w:t>
      </w:r>
      <w:r w:rsidRPr="00982FFA">
        <w:rPr>
          <w:rFonts w:ascii="Times New Roman" w:hAnsi="Times New Roman" w:cs="Times New Roman"/>
          <w:i/>
          <w:sz w:val="20"/>
          <w:szCs w:val="20"/>
          <w:lang w:val="en-CA"/>
        </w:rPr>
        <w:t>George Mason Law Review</w:t>
      </w:r>
      <w:r w:rsidRPr="00982FFA">
        <w:rPr>
          <w:rFonts w:ascii="Times New Roman" w:hAnsi="Times New Roman" w:cs="Times New Roman"/>
          <w:sz w:val="20"/>
          <w:szCs w:val="20"/>
          <w:lang w:val="en-CA"/>
        </w:rPr>
        <w:t xml:space="preserve">, 9, no. 1 (2000): 145 at 148. See also Nitya Iyer, “Categorical denials: Equality rights and the shaping of social identity” </w:t>
      </w:r>
      <w:r w:rsidRPr="00461619">
        <w:rPr>
          <w:rFonts w:ascii="Times New Roman" w:hAnsi="Times New Roman" w:cs="Times New Roman"/>
          <w:i/>
          <w:sz w:val="20"/>
          <w:szCs w:val="20"/>
          <w:lang w:val="en-CA"/>
        </w:rPr>
        <w:t>Queen</w:t>
      </w:r>
      <w:r w:rsidRPr="00982FFA">
        <w:rPr>
          <w:rFonts w:ascii="Times New Roman" w:hAnsi="Times New Roman" w:cs="Times New Roman"/>
          <w:i/>
          <w:sz w:val="20"/>
          <w:szCs w:val="20"/>
          <w:lang w:val="en-CA"/>
        </w:rPr>
        <w:t>’</w:t>
      </w:r>
      <w:r w:rsidRPr="00461619">
        <w:rPr>
          <w:rFonts w:ascii="Times New Roman" w:hAnsi="Times New Roman" w:cs="Times New Roman"/>
          <w:i/>
          <w:sz w:val="20"/>
          <w:szCs w:val="20"/>
          <w:lang w:val="en-CA"/>
        </w:rPr>
        <w:t>s L</w:t>
      </w:r>
      <w:r w:rsidRPr="00982FFA">
        <w:rPr>
          <w:rFonts w:ascii="Times New Roman" w:hAnsi="Times New Roman" w:cs="Times New Roman"/>
          <w:i/>
          <w:sz w:val="20"/>
          <w:szCs w:val="20"/>
          <w:lang w:val="en-CA"/>
        </w:rPr>
        <w:t xml:space="preserve">aw </w:t>
      </w:r>
      <w:r w:rsidRPr="00461619">
        <w:rPr>
          <w:rFonts w:ascii="Times New Roman" w:hAnsi="Times New Roman" w:cs="Times New Roman"/>
          <w:i/>
          <w:sz w:val="20"/>
          <w:szCs w:val="20"/>
          <w:lang w:val="en-CA"/>
        </w:rPr>
        <w:t>J</w:t>
      </w:r>
      <w:r w:rsidRPr="00982FFA">
        <w:rPr>
          <w:rFonts w:ascii="Times New Roman" w:hAnsi="Times New Roman" w:cs="Times New Roman"/>
          <w:i/>
          <w:sz w:val="20"/>
          <w:szCs w:val="20"/>
          <w:lang w:val="en-CA"/>
        </w:rPr>
        <w:t>ournal</w:t>
      </w:r>
      <w:r w:rsidRPr="00982FFA">
        <w:rPr>
          <w:rFonts w:ascii="Times New Roman" w:hAnsi="Times New Roman" w:cs="Times New Roman"/>
          <w:sz w:val="20"/>
          <w:szCs w:val="20"/>
          <w:lang w:val="en-CA"/>
        </w:rPr>
        <w:t xml:space="preserve"> 19 (1993): 179 at 191–92.</w:t>
      </w:r>
    </w:p>
  </w:footnote>
  <w:footnote w:id="16">
    <w:p w14:paraId="7A1DC984" w14:textId="46EAD302"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w:t>
      </w:r>
      <w:r w:rsidRPr="00982FFA">
        <w:rPr>
          <w:rFonts w:ascii="Times New Roman" w:eastAsia="Times New Roman" w:hAnsi="Times New Roman" w:cs="Times New Roman"/>
          <w:i/>
          <w:iCs/>
          <w:color w:val="000000" w:themeColor="text1"/>
          <w:sz w:val="20"/>
          <w:szCs w:val="20"/>
          <w:shd w:val="clear" w:color="auto" w:fill="FFFFFF"/>
          <w:lang w:val="en-CA"/>
        </w:rPr>
        <w:t>Canadian Charter of Rights and Freedoms</w:t>
      </w:r>
      <w:r w:rsidRPr="00982FFA">
        <w:rPr>
          <w:rFonts w:ascii="Times New Roman" w:eastAsia="Times New Roman" w:hAnsi="Times New Roman" w:cs="Times New Roman"/>
          <w:color w:val="000000" w:themeColor="text1"/>
          <w:sz w:val="20"/>
          <w:szCs w:val="20"/>
          <w:shd w:val="clear" w:color="auto" w:fill="FFFFFF"/>
          <w:lang w:val="en-CA"/>
        </w:rPr>
        <w:t xml:space="preserve">, Part I of the </w:t>
      </w:r>
      <w:r w:rsidRPr="00982FFA">
        <w:rPr>
          <w:rFonts w:ascii="Times New Roman" w:eastAsia="Times New Roman" w:hAnsi="Times New Roman" w:cs="Times New Roman"/>
          <w:i/>
          <w:iCs/>
          <w:color w:val="000000" w:themeColor="text1"/>
          <w:sz w:val="20"/>
          <w:szCs w:val="20"/>
          <w:shd w:val="clear" w:color="auto" w:fill="FFFFFF"/>
          <w:lang w:val="en-CA"/>
        </w:rPr>
        <w:t>Constitution Act, 1982</w:t>
      </w:r>
      <w:r w:rsidRPr="00982FFA">
        <w:rPr>
          <w:rFonts w:ascii="Times New Roman" w:eastAsia="Times New Roman" w:hAnsi="Times New Roman" w:cs="Times New Roman"/>
          <w:color w:val="000000" w:themeColor="text1"/>
          <w:sz w:val="20"/>
          <w:szCs w:val="20"/>
          <w:shd w:val="clear" w:color="auto" w:fill="FFFFFF"/>
          <w:lang w:val="en-CA"/>
        </w:rPr>
        <w:t>, being Schedule B to the </w:t>
      </w:r>
      <w:r w:rsidRPr="00982FFA">
        <w:rPr>
          <w:rFonts w:ascii="Times New Roman" w:eastAsia="Times New Roman" w:hAnsi="Times New Roman" w:cs="Times New Roman"/>
          <w:i/>
          <w:iCs/>
          <w:color w:val="000000" w:themeColor="text1"/>
          <w:sz w:val="20"/>
          <w:szCs w:val="20"/>
          <w:shd w:val="clear" w:color="auto" w:fill="FFFFFF"/>
          <w:lang w:val="en-CA"/>
        </w:rPr>
        <w:t>Canada Act 1982</w:t>
      </w:r>
      <w:r w:rsidRPr="00982FFA">
        <w:rPr>
          <w:rFonts w:ascii="Times New Roman" w:eastAsia="Times New Roman" w:hAnsi="Times New Roman" w:cs="Times New Roman"/>
          <w:color w:val="000000" w:themeColor="text1"/>
          <w:sz w:val="20"/>
          <w:szCs w:val="20"/>
          <w:shd w:val="clear" w:color="auto" w:fill="FFFFFF"/>
          <w:lang w:val="en-CA"/>
        </w:rPr>
        <w:t xml:space="preserve"> (UK), 1982, c 11 </w:t>
      </w:r>
      <w:r w:rsidRPr="00982FFA">
        <w:rPr>
          <w:rFonts w:ascii="Times New Roman" w:hAnsi="Times New Roman" w:cs="Times New Roman"/>
          <w:sz w:val="20"/>
          <w:szCs w:val="20"/>
          <w:lang w:val="en-CA"/>
        </w:rPr>
        <w:t>[</w:t>
      </w:r>
      <w:r w:rsidRPr="00982FFA">
        <w:rPr>
          <w:rFonts w:ascii="Times New Roman" w:hAnsi="Times New Roman" w:cs="Times New Roman"/>
          <w:i/>
          <w:sz w:val="20"/>
          <w:szCs w:val="20"/>
          <w:lang w:val="en-CA"/>
        </w:rPr>
        <w:t>Charter</w:t>
      </w:r>
      <w:r w:rsidRPr="00982FFA">
        <w:rPr>
          <w:rFonts w:ascii="Times New Roman" w:hAnsi="Times New Roman" w:cs="Times New Roman"/>
          <w:sz w:val="20"/>
          <w:szCs w:val="20"/>
          <w:lang w:val="en-CA"/>
        </w:rPr>
        <w:t xml:space="preserve">]. </w:t>
      </w:r>
    </w:p>
  </w:footnote>
  <w:footnote w:id="17">
    <w:p w14:paraId="333D01CC" w14:textId="2CDBEE80"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OHRC</w:t>
      </w:r>
      <w:r w:rsidRPr="00982FFA">
        <w:rPr>
          <w:rFonts w:ascii="Times New Roman" w:hAnsi="Times New Roman" w:cs="Times New Roman"/>
          <w:sz w:val="20"/>
          <w:szCs w:val="20"/>
          <w:lang w:val="en-CA"/>
        </w:rPr>
        <w:t xml:space="preserve">, </w:t>
      </w:r>
      <w:r w:rsidRPr="00982FFA">
        <w:rPr>
          <w:rFonts w:ascii="Times New Roman" w:hAnsi="Times New Roman" w:cs="Times New Roman"/>
          <w:i/>
          <w:iCs/>
          <w:sz w:val="20"/>
          <w:szCs w:val="20"/>
          <w:lang w:val="en-CA"/>
        </w:rPr>
        <w:t>supra</w:t>
      </w:r>
      <w:r w:rsidRPr="00982FFA">
        <w:rPr>
          <w:rFonts w:ascii="Times New Roman" w:hAnsi="Times New Roman" w:cs="Times New Roman"/>
          <w:sz w:val="20"/>
          <w:szCs w:val="20"/>
          <w:lang w:val="en-CA"/>
        </w:rPr>
        <w:t xml:space="preserve"> note 5. </w:t>
      </w:r>
    </w:p>
  </w:footnote>
  <w:footnote w:id="18">
    <w:p w14:paraId="287B53E0" w14:textId="626FD921"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OHRC, </w:t>
      </w:r>
      <w:r w:rsidRPr="00982FFA">
        <w:rPr>
          <w:rFonts w:ascii="Times New Roman" w:hAnsi="Times New Roman" w:cs="Times New Roman"/>
          <w:i/>
          <w:sz w:val="20"/>
          <w:szCs w:val="20"/>
          <w:lang w:val="en-CA"/>
        </w:rPr>
        <w:t>Gender Identity and Gender Expression</w:t>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supra</w:t>
      </w:r>
      <w:r w:rsidRPr="00982FFA">
        <w:rPr>
          <w:rFonts w:ascii="Times New Roman" w:hAnsi="Times New Roman" w:cs="Times New Roman"/>
          <w:sz w:val="20"/>
          <w:szCs w:val="20"/>
          <w:lang w:val="en-CA"/>
        </w:rPr>
        <w:t xml:space="preserve"> note 6 at Preamble. </w:t>
      </w:r>
    </w:p>
  </w:footnote>
  <w:footnote w:id="19">
    <w:p w14:paraId="0C66BAA3" w14:textId="1729A0CD"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The Ontario Human Rights Code Amendment Act</w:t>
      </w:r>
      <w:r w:rsidRPr="00982FFA">
        <w:rPr>
          <w:rFonts w:ascii="Times New Roman" w:hAnsi="Times New Roman" w:cs="Times New Roman"/>
          <w:sz w:val="20"/>
          <w:szCs w:val="20"/>
          <w:lang w:val="en-CA"/>
        </w:rPr>
        <w:t>, 1972, SO 1972, c 119.</w:t>
      </w:r>
    </w:p>
  </w:footnote>
  <w:footnote w:id="20">
    <w:p w14:paraId="62FD4171" w14:textId="2FD00F26"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Equality Rights Statute Law Amendment Act</w:t>
      </w:r>
      <w:r w:rsidRPr="00982FFA">
        <w:rPr>
          <w:rFonts w:ascii="Times New Roman" w:hAnsi="Times New Roman" w:cs="Times New Roman"/>
          <w:sz w:val="20"/>
          <w:szCs w:val="20"/>
          <w:lang w:val="en-CA"/>
        </w:rPr>
        <w:t>, 1986, SO 1986, c 64.</w:t>
      </w:r>
    </w:p>
  </w:footnote>
  <w:footnote w:id="21">
    <w:p w14:paraId="4107790D" w14:textId="20999C72"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Toby’s Act</w:t>
      </w:r>
      <w:r w:rsidRPr="00982FFA">
        <w:rPr>
          <w:rFonts w:ascii="Times New Roman" w:hAnsi="Times New Roman" w:cs="Times New Roman"/>
          <w:iCs/>
          <w:sz w:val="20"/>
          <w:szCs w:val="20"/>
          <w:lang w:val="en-CA"/>
        </w:rPr>
        <w:t xml:space="preserve">, </w:t>
      </w:r>
      <w:r w:rsidRPr="00982FFA">
        <w:rPr>
          <w:rFonts w:ascii="Times New Roman" w:hAnsi="Times New Roman" w:cs="Times New Roman"/>
          <w:i/>
          <w:sz w:val="20"/>
          <w:szCs w:val="20"/>
          <w:lang w:val="en-CA"/>
        </w:rPr>
        <w:t>supra</w:t>
      </w:r>
      <w:r w:rsidRPr="00982FFA">
        <w:rPr>
          <w:rFonts w:ascii="Times New Roman" w:hAnsi="Times New Roman" w:cs="Times New Roman"/>
          <w:iCs/>
          <w:sz w:val="20"/>
          <w:szCs w:val="20"/>
          <w:lang w:val="en-CA"/>
        </w:rPr>
        <w:t xml:space="preserve"> note 3. </w:t>
      </w:r>
    </w:p>
  </w:footnote>
  <w:footnote w:id="22">
    <w:p w14:paraId="15828CDE" w14:textId="6A3099B7"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Kirkup, “Origins,” </w:t>
      </w:r>
      <w:r w:rsidRPr="00982FFA">
        <w:rPr>
          <w:rFonts w:ascii="Times New Roman" w:hAnsi="Times New Roman" w:cs="Times New Roman"/>
          <w:i/>
          <w:sz w:val="20"/>
          <w:szCs w:val="20"/>
          <w:lang w:val="en-CA"/>
        </w:rPr>
        <w:t>supra</w:t>
      </w:r>
      <w:r w:rsidRPr="00982FFA">
        <w:rPr>
          <w:rFonts w:ascii="Times New Roman" w:hAnsi="Times New Roman" w:cs="Times New Roman"/>
          <w:sz w:val="20"/>
          <w:szCs w:val="20"/>
          <w:lang w:val="en-CA"/>
        </w:rPr>
        <w:t xml:space="preserve"> note 1 at 81. </w:t>
      </w:r>
    </w:p>
  </w:footnote>
  <w:footnote w:id="23">
    <w:p w14:paraId="0633B72A" w14:textId="1BEAA97D"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See Samuel Moyn,</w:t>
      </w:r>
      <w:r w:rsidRPr="00982FFA">
        <w:rPr>
          <w:rFonts w:ascii="Times New Roman" w:hAnsi="Times New Roman" w:cs="Times New Roman"/>
          <w:i/>
          <w:sz w:val="20"/>
          <w:szCs w:val="20"/>
          <w:lang w:val="en-CA"/>
        </w:rPr>
        <w:t xml:space="preserve"> Not enough: Human rights in an unequal world</w:t>
      </w:r>
      <w:r w:rsidRPr="00982FFA">
        <w:rPr>
          <w:rFonts w:ascii="Times New Roman" w:hAnsi="Times New Roman" w:cs="Times New Roman"/>
          <w:sz w:val="20"/>
          <w:szCs w:val="20"/>
          <w:lang w:val="en-CA"/>
        </w:rPr>
        <w:t xml:space="preserve"> (Cambridge, MA: Harvard University Press, 2018); Mari J. Matsuda, “Looking to the bottom: Critical legal studies and reparations,” </w:t>
      </w:r>
      <w:r w:rsidRPr="00982FFA">
        <w:rPr>
          <w:rFonts w:ascii="Times New Roman" w:hAnsi="Times New Roman" w:cs="Times New Roman"/>
          <w:i/>
          <w:sz w:val="20"/>
          <w:szCs w:val="20"/>
          <w:lang w:val="en-CA"/>
        </w:rPr>
        <w:t>Harvard Civil Rights-Civil Liberties Law Rev</w:t>
      </w:r>
      <w:r w:rsidRPr="00982FFA">
        <w:rPr>
          <w:rFonts w:ascii="Times New Roman" w:hAnsi="Times New Roman" w:cs="Times New Roman"/>
          <w:sz w:val="20"/>
          <w:szCs w:val="20"/>
          <w:lang w:val="en-CA"/>
        </w:rPr>
        <w:t xml:space="preserve"> 22 (1987): 323; Richard Thompson Ford, </w:t>
      </w:r>
      <w:r w:rsidRPr="00982FFA">
        <w:rPr>
          <w:rFonts w:ascii="Times New Roman" w:hAnsi="Times New Roman" w:cs="Times New Roman"/>
          <w:i/>
          <w:iCs/>
          <w:sz w:val="20"/>
          <w:szCs w:val="20"/>
          <w:lang w:val="en-CA"/>
        </w:rPr>
        <w:t>Rights gone wrong: How law corrupts the struggle for equality</w:t>
      </w:r>
      <w:r w:rsidRPr="00982FFA">
        <w:rPr>
          <w:rFonts w:ascii="Times New Roman" w:hAnsi="Times New Roman" w:cs="Times New Roman"/>
          <w:sz w:val="20"/>
          <w:szCs w:val="20"/>
          <w:lang w:val="en-CA"/>
        </w:rPr>
        <w:t xml:space="preserve"> (New York: Farrar, Straus &amp; Girous, 2011); Patricia J. Williams, “Alchemical notes: Reconstructing ideals from deconstructed rights,” </w:t>
      </w:r>
      <w:r w:rsidRPr="00982FFA">
        <w:rPr>
          <w:rFonts w:ascii="Times New Roman" w:hAnsi="Times New Roman" w:cs="Times New Roman"/>
          <w:i/>
          <w:sz w:val="20"/>
          <w:szCs w:val="20"/>
          <w:lang w:val="en-CA"/>
        </w:rPr>
        <w:t>Harvard Civil Rights-Civil Liberties Law Rev</w:t>
      </w:r>
      <w:r w:rsidR="007E5528">
        <w:rPr>
          <w:rFonts w:ascii="Times New Roman" w:hAnsi="Times New Roman" w:cs="Times New Roman"/>
          <w:i/>
          <w:sz w:val="20"/>
          <w:szCs w:val="20"/>
          <w:lang w:val="en-CA"/>
        </w:rPr>
        <w:t>iew</w:t>
      </w:r>
      <w:r w:rsidRPr="00982FFA">
        <w:rPr>
          <w:rFonts w:ascii="Times New Roman" w:hAnsi="Times New Roman" w:cs="Times New Roman"/>
          <w:sz w:val="20"/>
          <w:szCs w:val="20"/>
          <w:lang w:val="en-CA"/>
        </w:rPr>
        <w:t xml:space="preserve"> 22 (1987): 401; and Richard Delgado, “The Ethereal Scholar: Does Critical Studies Have What Minorities Want?,” </w:t>
      </w:r>
      <w:r w:rsidRPr="00982FFA">
        <w:rPr>
          <w:rFonts w:ascii="Times New Roman" w:hAnsi="Times New Roman" w:cs="Times New Roman"/>
          <w:i/>
          <w:sz w:val="20"/>
          <w:szCs w:val="20"/>
          <w:lang w:val="en-CA"/>
        </w:rPr>
        <w:t>Harvard Civil Rights-Civil Liberties Law Rev</w:t>
      </w:r>
      <w:r w:rsidR="007E5528">
        <w:rPr>
          <w:rFonts w:ascii="Times New Roman" w:hAnsi="Times New Roman" w:cs="Times New Roman"/>
          <w:i/>
          <w:sz w:val="20"/>
          <w:szCs w:val="20"/>
          <w:lang w:val="en-CA"/>
        </w:rPr>
        <w:t>iew</w:t>
      </w:r>
      <w:r w:rsidRPr="00982FFA">
        <w:rPr>
          <w:rFonts w:ascii="Times New Roman" w:hAnsi="Times New Roman" w:cs="Times New Roman"/>
          <w:sz w:val="20"/>
          <w:szCs w:val="20"/>
          <w:lang w:val="en-CA"/>
        </w:rPr>
        <w:t xml:space="preserve"> 22 (1987): 301. </w:t>
      </w:r>
    </w:p>
  </w:footnote>
  <w:footnote w:id="24">
    <w:p w14:paraId="2BE10461" w14:textId="7EB1819C"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Jena McGill and Kyle Kirkup, “Locating the trans legal subject in Canadian law: </w:t>
      </w:r>
      <w:r w:rsidRPr="00982FFA">
        <w:rPr>
          <w:rFonts w:ascii="Times New Roman" w:hAnsi="Times New Roman" w:cs="Times New Roman"/>
          <w:i/>
          <w:sz w:val="20"/>
          <w:szCs w:val="20"/>
          <w:lang w:val="en-CA"/>
        </w:rPr>
        <w:t>XY v Ontario,</w:t>
      </w:r>
      <w:r w:rsidRPr="00982FFA">
        <w:rPr>
          <w:rFonts w:ascii="Times New Roman" w:hAnsi="Times New Roman" w:cs="Times New Roman"/>
          <w:sz w:val="20"/>
          <w:szCs w:val="20"/>
          <w:lang w:val="en-CA"/>
        </w:rPr>
        <w:t xml:space="preserve">” </w:t>
      </w:r>
      <w:r w:rsidRPr="00461619">
        <w:rPr>
          <w:rFonts w:ascii="Times New Roman" w:hAnsi="Times New Roman" w:cs="Times New Roman"/>
          <w:i/>
          <w:iCs/>
          <w:sz w:val="20"/>
          <w:szCs w:val="20"/>
          <w:lang w:val="en-CA"/>
        </w:rPr>
        <w:t>Windsor Review of Legal and Social Issues</w:t>
      </w:r>
      <w:r w:rsidRPr="00982FFA">
        <w:rPr>
          <w:rFonts w:ascii="Times New Roman" w:hAnsi="Times New Roman" w:cs="Times New Roman"/>
          <w:sz w:val="20"/>
          <w:szCs w:val="20"/>
          <w:lang w:val="en-CA"/>
        </w:rPr>
        <w:t xml:space="preserve">, 33, no. 1 (2013): 96 at 106. </w:t>
      </w:r>
    </w:p>
  </w:footnote>
  <w:footnote w:id="25">
    <w:p w14:paraId="29F82D29" w14:textId="60F8EC59"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Williams, </w:t>
      </w:r>
      <w:r w:rsidRPr="00982FFA">
        <w:rPr>
          <w:rFonts w:ascii="Times New Roman" w:hAnsi="Times New Roman" w:cs="Times New Roman"/>
          <w:i/>
          <w:iCs/>
          <w:sz w:val="20"/>
          <w:szCs w:val="20"/>
          <w:lang w:val="en-CA"/>
        </w:rPr>
        <w:t>supra</w:t>
      </w:r>
      <w:r w:rsidRPr="00982FFA">
        <w:rPr>
          <w:rFonts w:ascii="Times New Roman" w:hAnsi="Times New Roman" w:cs="Times New Roman"/>
          <w:sz w:val="20"/>
          <w:szCs w:val="20"/>
          <w:lang w:val="en-CA"/>
        </w:rPr>
        <w:t xml:space="preserve"> note 22 at 416.</w:t>
      </w:r>
    </w:p>
  </w:footnote>
  <w:footnote w:id="26">
    <w:p w14:paraId="435CC9F0" w14:textId="355C5C73"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SC 2017, c 13 [Bill C-16].</w:t>
      </w:r>
    </w:p>
  </w:footnote>
  <w:footnote w:id="27">
    <w:p w14:paraId="73CFCE79" w14:textId="06313181"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Canadian Human Rights Act</w:t>
      </w:r>
      <w:r w:rsidRPr="00982FFA">
        <w:rPr>
          <w:rFonts w:ascii="Times New Roman" w:hAnsi="Times New Roman" w:cs="Times New Roman"/>
          <w:sz w:val="20"/>
          <w:szCs w:val="20"/>
          <w:lang w:val="en-CA"/>
        </w:rPr>
        <w:t>, RSC 1985, c H-6 [</w:t>
      </w:r>
      <w:r w:rsidRPr="00982FFA">
        <w:rPr>
          <w:rFonts w:ascii="Times New Roman" w:hAnsi="Times New Roman" w:cs="Times New Roman"/>
          <w:i/>
          <w:sz w:val="20"/>
          <w:szCs w:val="20"/>
          <w:lang w:val="en-CA"/>
        </w:rPr>
        <w:t>CHRA</w:t>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Criminal Code</w:t>
      </w:r>
      <w:r w:rsidRPr="00982FFA">
        <w:rPr>
          <w:rFonts w:ascii="Times New Roman" w:hAnsi="Times New Roman" w:cs="Times New Roman"/>
          <w:sz w:val="20"/>
          <w:szCs w:val="20"/>
          <w:lang w:val="en-CA"/>
        </w:rPr>
        <w:t xml:space="preserve">, RSC 1985, c C-45. </w:t>
      </w:r>
    </w:p>
  </w:footnote>
  <w:footnote w:id="28">
    <w:p w14:paraId="4BD9804F" w14:textId="47D3C557" w:rsidR="00295F24" w:rsidRPr="00982FFA" w:rsidRDefault="00295F24" w:rsidP="00495630">
      <w:pPr>
        <w:spacing w:after="80"/>
        <w:rPr>
          <w:rFonts w:ascii="Times New Roman" w:hAnsi="Times New Roman" w:cs="Times New Roman"/>
          <w:color w:val="000000" w:themeColor="text1"/>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w:t>
      </w:r>
      <w:r w:rsidRPr="00982FFA">
        <w:rPr>
          <w:rFonts w:ascii="Times New Roman" w:hAnsi="Times New Roman" w:cs="Times New Roman"/>
          <w:color w:val="000000" w:themeColor="text1"/>
          <w:sz w:val="20"/>
          <w:szCs w:val="20"/>
          <w:lang w:val="en-CA"/>
        </w:rPr>
        <w:t xml:space="preserve">Casey Plett, “For transgender Canadians, Bill C-16 is symbolic—yet meaningful,” </w:t>
      </w:r>
      <w:r w:rsidRPr="00982FFA">
        <w:rPr>
          <w:rFonts w:ascii="Times New Roman" w:hAnsi="Times New Roman" w:cs="Times New Roman"/>
          <w:i/>
          <w:color w:val="000000" w:themeColor="text1"/>
          <w:sz w:val="20"/>
          <w:szCs w:val="20"/>
          <w:lang w:val="en-CA"/>
        </w:rPr>
        <w:t xml:space="preserve">Maclean’s </w:t>
      </w:r>
      <w:r w:rsidRPr="00982FFA">
        <w:rPr>
          <w:rFonts w:ascii="Times New Roman" w:hAnsi="Times New Roman" w:cs="Times New Roman"/>
          <w:color w:val="000000" w:themeColor="text1"/>
          <w:sz w:val="20"/>
          <w:szCs w:val="20"/>
          <w:lang w:val="en-CA"/>
        </w:rPr>
        <w:t>(19 June 2017), online: &lt;www.macleans.ca/opinion/for-transgender-canadians-bill-c-16-is-symbolic-yet-meaningful&gt;.</w:t>
      </w:r>
    </w:p>
  </w:footnote>
  <w:footnote w:id="29">
    <w:p w14:paraId="69628EF3" w14:textId="075BA9CD"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Frances Kahn Zemans, “Legal mobilization: The neglected role of the law in the political system,” American Political Science Review 77, no. 3 (1983): 690 at 697.</w:t>
      </w:r>
    </w:p>
  </w:footnote>
  <w:footnote w:id="30">
    <w:p w14:paraId="3BCAA11B" w14:textId="628DBFA3"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Northwest Territories, Standing Committee on Social Programs, </w:t>
      </w:r>
      <w:r w:rsidRPr="00982FFA">
        <w:rPr>
          <w:rFonts w:ascii="Times New Roman" w:hAnsi="Times New Roman" w:cs="Times New Roman"/>
          <w:i/>
          <w:iCs/>
          <w:sz w:val="20"/>
          <w:szCs w:val="20"/>
          <w:lang w:val="en-CA"/>
        </w:rPr>
        <w:t>R</w:t>
      </w:r>
      <w:r w:rsidRPr="00982FFA">
        <w:rPr>
          <w:rFonts w:ascii="Times New Roman" w:hAnsi="Times New Roman" w:cs="Times New Roman"/>
          <w:i/>
          <w:sz w:val="20"/>
          <w:szCs w:val="20"/>
          <w:lang w:val="en-CA"/>
        </w:rPr>
        <w:t>eport on Bill 1: Human Rights Act</w:t>
      </w:r>
      <w:r w:rsidRPr="00982FFA">
        <w:rPr>
          <w:rFonts w:ascii="Times New Roman" w:hAnsi="Times New Roman" w:cs="Times New Roman"/>
          <w:sz w:val="20"/>
          <w:szCs w:val="20"/>
          <w:lang w:val="en-CA"/>
        </w:rPr>
        <w:t xml:space="preserve"> (2002) (Chair: Brendan Bell). </w:t>
      </w:r>
    </w:p>
  </w:footnote>
  <w:footnote w:id="31">
    <w:p w14:paraId="51928BFA" w14:textId="00894E5E"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Florence Ashley, “</w:t>
      </w:r>
      <w:r w:rsidR="00982FFA" w:rsidRPr="00982FFA">
        <w:rPr>
          <w:rFonts w:ascii="Times New Roman" w:hAnsi="Times New Roman" w:cs="Times New Roman"/>
          <w:sz w:val="20"/>
          <w:szCs w:val="20"/>
          <w:lang w:val="en-CA"/>
        </w:rPr>
        <w:t>Don’t</w:t>
      </w:r>
      <w:r w:rsidRPr="00982FFA">
        <w:rPr>
          <w:rFonts w:ascii="Times New Roman" w:hAnsi="Times New Roman" w:cs="Times New Roman"/>
          <w:sz w:val="20"/>
          <w:szCs w:val="20"/>
          <w:lang w:val="en-CA"/>
        </w:rPr>
        <w:t xml:space="preserve"> be so hateful: The Insufficiency of anti-discrimination and hate crimes laws in improving trans well- being,” </w:t>
      </w:r>
      <w:r w:rsidR="008A5D81" w:rsidRPr="00461619">
        <w:rPr>
          <w:rFonts w:ascii="Times New Roman" w:hAnsi="Times New Roman" w:cs="Times New Roman"/>
          <w:i/>
          <w:iCs/>
          <w:sz w:val="20"/>
          <w:szCs w:val="20"/>
          <w:lang w:val="en-CA"/>
        </w:rPr>
        <w:t>University of Toronto Law Journal</w:t>
      </w:r>
      <w:r w:rsidRPr="00982FFA">
        <w:rPr>
          <w:rFonts w:ascii="Times New Roman" w:hAnsi="Times New Roman" w:cs="Times New Roman"/>
          <w:sz w:val="20"/>
          <w:szCs w:val="20"/>
          <w:lang w:val="en-CA"/>
        </w:rPr>
        <w:t xml:space="preserve"> 68, no. 1 (2017): 1 at 26.</w:t>
      </w:r>
    </w:p>
  </w:footnote>
  <w:footnote w:id="32">
    <w:p w14:paraId="5AEE5484" w14:textId="48A1A49F"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See </w:t>
      </w:r>
      <w:r w:rsidRPr="00982FFA">
        <w:rPr>
          <w:rFonts w:ascii="Times New Roman" w:hAnsi="Times New Roman" w:cs="Times New Roman"/>
          <w:i/>
          <w:sz w:val="20"/>
          <w:szCs w:val="20"/>
          <w:lang w:val="en-CA"/>
        </w:rPr>
        <w:t>XY</w:t>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supra</w:t>
      </w:r>
      <w:r w:rsidRPr="00982FFA">
        <w:rPr>
          <w:rFonts w:ascii="Times New Roman" w:hAnsi="Times New Roman" w:cs="Times New Roman"/>
          <w:sz w:val="20"/>
          <w:szCs w:val="20"/>
          <w:lang w:val="en-CA"/>
        </w:rPr>
        <w:t xml:space="preserve"> note 7; and </w:t>
      </w:r>
      <w:r w:rsidRPr="00982FFA">
        <w:rPr>
          <w:rFonts w:ascii="Times New Roman" w:hAnsi="Times New Roman" w:cs="Times New Roman"/>
          <w:i/>
          <w:sz w:val="20"/>
          <w:szCs w:val="20"/>
          <w:lang w:val="en-CA"/>
        </w:rPr>
        <w:t>CF, supra</w:t>
      </w:r>
      <w:r w:rsidRPr="00982FFA">
        <w:rPr>
          <w:rFonts w:ascii="Times New Roman" w:hAnsi="Times New Roman" w:cs="Times New Roman"/>
          <w:sz w:val="20"/>
          <w:szCs w:val="20"/>
          <w:lang w:val="en-CA"/>
        </w:rPr>
        <w:t xml:space="preserve"> note 7.</w:t>
      </w:r>
    </w:p>
  </w:footnote>
  <w:footnote w:id="33">
    <w:p w14:paraId="32573F9E" w14:textId="332F4DD2"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See </w:t>
      </w:r>
      <w:r w:rsidRPr="00982FFA">
        <w:rPr>
          <w:rFonts w:ascii="Times New Roman" w:hAnsi="Times New Roman" w:cs="Times New Roman"/>
          <w:i/>
          <w:sz w:val="20"/>
          <w:szCs w:val="20"/>
          <w:lang w:val="en-CA"/>
        </w:rPr>
        <w:t>Forrester</w:t>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supra</w:t>
      </w:r>
      <w:r w:rsidRPr="00982FFA">
        <w:rPr>
          <w:rFonts w:ascii="Times New Roman" w:hAnsi="Times New Roman" w:cs="Times New Roman"/>
          <w:sz w:val="20"/>
          <w:szCs w:val="20"/>
          <w:lang w:val="en-CA"/>
        </w:rPr>
        <w:t xml:space="preserve"> note 7; and </w:t>
      </w:r>
      <w:r w:rsidRPr="00982FFA">
        <w:rPr>
          <w:rFonts w:ascii="Times New Roman" w:hAnsi="Times New Roman" w:cs="Times New Roman"/>
          <w:i/>
          <w:sz w:val="20"/>
          <w:szCs w:val="20"/>
          <w:lang w:val="en-CA"/>
        </w:rPr>
        <w:t>Dawson, supra</w:t>
      </w:r>
      <w:r w:rsidRPr="00982FFA">
        <w:rPr>
          <w:rFonts w:ascii="Times New Roman" w:hAnsi="Times New Roman" w:cs="Times New Roman"/>
          <w:sz w:val="20"/>
          <w:szCs w:val="20"/>
          <w:lang w:val="en-CA"/>
        </w:rPr>
        <w:t xml:space="preserve"> note 7.</w:t>
      </w:r>
    </w:p>
  </w:footnote>
  <w:footnote w:id="34">
    <w:p w14:paraId="52123615" w14:textId="58FBD0C3"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Ashley, </w:t>
      </w:r>
      <w:r w:rsidRPr="00982FFA">
        <w:rPr>
          <w:rFonts w:ascii="Times New Roman" w:hAnsi="Times New Roman" w:cs="Times New Roman"/>
          <w:i/>
          <w:sz w:val="20"/>
          <w:szCs w:val="20"/>
          <w:lang w:val="en-CA"/>
        </w:rPr>
        <w:t>supra</w:t>
      </w:r>
      <w:r w:rsidRPr="00982FFA">
        <w:rPr>
          <w:rFonts w:ascii="Times New Roman" w:hAnsi="Times New Roman" w:cs="Times New Roman"/>
          <w:sz w:val="20"/>
          <w:szCs w:val="20"/>
          <w:lang w:val="en-CA"/>
        </w:rPr>
        <w:t xml:space="preserve"> note 30 at 35. </w:t>
      </w:r>
    </w:p>
  </w:footnote>
  <w:footnote w:id="35">
    <w:p w14:paraId="407BB952" w14:textId="37FC6B44"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See Dean Spade, “What’s wrong with trans rights?,” in </w:t>
      </w:r>
      <w:r w:rsidRPr="00982FFA">
        <w:rPr>
          <w:rFonts w:ascii="Times New Roman" w:hAnsi="Times New Roman" w:cs="Times New Roman"/>
          <w:i/>
          <w:sz w:val="20"/>
          <w:szCs w:val="20"/>
          <w:lang w:val="en-CA"/>
        </w:rPr>
        <w:t>Transfeminist Perspectives: In and Beyond Transgender and Gender Studies</w:t>
      </w:r>
      <w:r w:rsidRPr="00982FFA">
        <w:rPr>
          <w:rFonts w:ascii="Times New Roman" w:hAnsi="Times New Roman" w:cs="Times New Roman"/>
          <w:sz w:val="20"/>
          <w:szCs w:val="20"/>
          <w:lang w:val="en-CA"/>
        </w:rPr>
        <w:t xml:space="preserve">, ed. Anne </w:t>
      </w:r>
      <w:proofErr w:type="spellStart"/>
      <w:r w:rsidRPr="00982FFA">
        <w:rPr>
          <w:rFonts w:ascii="Times New Roman" w:hAnsi="Times New Roman" w:cs="Times New Roman"/>
          <w:sz w:val="20"/>
          <w:szCs w:val="20"/>
          <w:lang w:val="en-CA"/>
        </w:rPr>
        <w:t>Enke</w:t>
      </w:r>
      <w:proofErr w:type="spellEnd"/>
      <w:r w:rsidRPr="00982FFA">
        <w:rPr>
          <w:rFonts w:ascii="Times New Roman" w:hAnsi="Times New Roman" w:cs="Times New Roman"/>
          <w:sz w:val="20"/>
          <w:szCs w:val="20"/>
          <w:lang w:val="en-CA"/>
        </w:rPr>
        <w:t xml:space="preserve"> (Philadelphia: Temple University Press, 2012), 184 at 186; and Ashley, </w:t>
      </w:r>
      <w:r w:rsidRPr="00982FFA">
        <w:rPr>
          <w:rFonts w:ascii="Times New Roman" w:hAnsi="Times New Roman" w:cs="Times New Roman"/>
          <w:i/>
          <w:sz w:val="20"/>
          <w:szCs w:val="20"/>
          <w:lang w:val="en-CA"/>
        </w:rPr>
        <w:t>supra</w:t>
      </w:r>
      <w:r w:rsidRPr="00982FFA">
        <w:rPr>
          <w:rFonts w:ascii="Times New Roman" w:hAnsi="Times New Roman" w:cs="Times New Roman"/>
          <w:sz w:val="20"/>
          <w:szCs w:val="20"/>
          <w:lang w:val="en-CA"/>
        </w:rPr>
        <w:t xml:space="preserve"> note 30 at 7–10. </w:t>
      </w:r>
    </w:p>
  </w:footnote>
  <w:footnote w:id="36">
    <w:p w14:paraId="356E607A" w14:textId="6082BB00"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Evan Vipond, “Trans rights will not protect us: The limits of equal rights discourse, antidiscrimination laws, and hate crime legislation” </w:t>
      </w:r>
      <w:r w:rsidRPr="00982FFA">
        <w:rPr>
          <w:rFonts w:ascii="Times New Roman" w:hAnsi="Times New Roman" w:cs="Times New Roman"/>
          <w:i/>
          <w:sz w:val="20"/>
          <w:szCs w:val="20"/>
          <w:lang w:val="en-CA"/>
        </w:rPr>
        <w:t>Western Journal of Legal Studies</w:t>
      </w:r>
      <w:r w:rsidRPr="00982FFA">
        <w:rPr>
          <w:rFonts w:ascii="Times New Roman" w:hAnsi="Times New Roman" w:cs="Times New Roman"/>
          <w:sz w:val="20"/>
          <w:szCs w:val="20"/>
          <w:lang w:val="en-CA"/>
        </w:rPr>
        <w:t xml:space="preserve"> 6, no. 1 (2015): 1 at 6.</w:t>
      </w:r>
    </w:p>
  </w:footnote>
  <w:footnote w:id="37">
    <w:p w14:paraId="1E07FAC5" w14:textId="3759D3E3"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Brenda Cossman, “Gender identity, gender pronouns, and freedom of expression: Bill C-16 and the traction of specious legal claims,” </w:t>
      </w:r>
      <w:r w:rsidR="00F50DD2" w:rsidRPr="00461619">
        <w:rPr>
          <w:rFonts w:ascii="Times New Roman" w:hAnsi="Times New Roman" w:cs="Times New Roman"/>
          <w:i/>
          <w:iCs/>
          <w:sz w:val="20"/>
          <w:szCs w:val="20"/>
          <w:lang w:val="en-CA"/>
        </w:rPr>
        <w:t>University of Toronto Law Journal</w:t>
      </w:r>
      <w:r w:rsidRPr="00982FFA">
        <w:rPr>
          <w:rFonts w:ascii="Times New Roman" w:hAnsi="Times New Roman" w:cs="Times New Roman"/>
          <w:sz w:val="20"/>
          <w:szCs w:val="20"/>
          <w:lang w:val="en-CA"/>
        </w:rPr>
        <w:t xml:space="preserve"> 68, no. 1 (2018): 37. </w:t>
      </w:r>
    </w:p>
  </w:footnote>
  <w:footnote w:id="38">
    <w:p w14:paraId="5575DFE0" w14:textId="4A428911"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Dean Spade, </w:t>
      </w:r>
      <w:r w:rsidRPr="00982FFA">
        <w:rPr>
          <w:rFonts w:ascii="Times New Roman" w:hAnsi="Times New Roman" w:cs="Times New Roman"/>
          <w:i/>
          <w:sz w:val="20"/>
          <w:szCs w:val="20"/>
          <w:lang w:val="en-CA"/>
        </w:rPr>
        <w:t xml:space="preserve">Normal Life: Administrative violence, critical trans politics, and the limits of law </w:t>
      </w:r>
      <w:r w:rsidRPr="00982FFA">
        <w:rPr>
          <w:rFonts w:ascii="Times New Roman" w:hAnsi="Times New Roman" w:cs="Times New Roman"/>
          <w:sz w:val="20"/>
          <w:szCs w:val="20"/>
          <w:lang w:val="en-CA"/>
        </w:rPr>
        <w:t xml:space="preserve">(Brooklyn: South End Press, 2011), 84 [Spade, </w:t>
      </w:r>
      <w:r w:rsidRPr="00982FFA">
        <w:rPr>
          <w:rFonts w:ascii="Times New Roman" w:hAnsi="Times New Roman" w:cs="Times New Roman"/>
          <w:i/>
          <w:sz w:val="20"/>
          <w:szCs w:val="20"/>
          <w:lang w:val="en-CA"/>
        </w:rPr>
        <w:t>Normal Life</w:t>
      </w:r>
      <w:r w:rsidRPr="00982FFA">
        <w:rPr>
          <w:rFonts w:ascii="Times New Roman" w:hAnsi="Times New Roman" w:cs="Times New Roman"/>
          <w:sz w:val="20"/>
          <w:szCs w:val="20"/>
          <w:lang w:val="en-CA"/>
        </w:rPr>
        <w:t xml:space="preserve">]. </w:t>
      </w:r>
    </w:p>
  </w:footnote>
  <w:footnote w:id="39">
    <w:p w14:paraId="606C6C2B" w14:textId="13371EB9"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Ibid., 29. </w:t>
      </w:r>
    </w:p>
  </w:footnote>
  <w:footnote w:id="40">
    <w:p w14:paraId="68711202" w14:textId="248F7B20"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Ibid., 86. </w:t>
      </w:r>
    </w:p>
  </w:footnote>
  <w:footnote w:id="41">
    <w:p w14:paraId="5BB6EBB3" w14:textId="1F9971C8"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For further discussion, see Ontario Human Rights Commission, </w:t>
      </w:r>
      <w:r w:rsidRPr="00982FFA">
        <w:rPr>
          <w:rFonts w:ascii="Times New Roman" w:hAnsi="Times New Roman" w:cs="Times New Roman"/>
          <w:i/>
          <w:iCs/>
          <w:sz w:val="20"/>
          <w:szCs w:val="20"/>
          <w:lang w:val="en-CA"/>
        </w:rPr>
        <w:t xml:space="preserve">An Intersectional Approach to Discrimination: Assessing Multiple Grounds in Human Rights Claims </w:t>
      </w:r>
      <w:r w:rsidRPr="00982FFA">
        <w:rPr>
          <w:rFonts w:ascii="Times New Roman" w:hAnsi="Times New Roman" w:cs="Times New Roman"/>
          <w:sz w:val="20"/>
          <w:szCs w:val="20"/>
          <w:lang w:val="en-CA"/>
        </w:rPr>
        <w:t xml:space="preserve">(Toronto: Ontario Human Rights Commission, 2001). </w:t>
      </w:r>
    </w:p>
  </w:footnote>
  <w:footnote w:id="42">
    <w:p w14:paraId="0A99A074" w14:textId="0C228B74"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Lane R. Mandlist, “Human rights, transsexed bodies, and health care in Canada: What counts as legal protection,” </w:t>
      </w:r>
      <w:r w:rsidRPr="00982FFA">
        <w:rPr>
          <w:rFonts w:ascii="Times New Roman" w:hAnsi="Times New Roman" w:cs="Times New Roman"/>
          <w:i/>
          <w:sz w:val="20"/>
          <w:szCs w:val="20"/>
          <w:lang w:val="en-CA"/>
        </w:rPr>
        <w:t>Canadian Journal of Law and Society</w:t>
      </w:r>
      <w:r w:rsidRPr="00982FFA">
        <w:rPr>
          <w:rFonts w:ascii="Times New Roman" w:hAnsi="Times New Roman" w:cs="Times New Roman"/>
          <w:sz w:val="20"/>
          <w:szCs w:val="20"/>
          <w:lang w:val="en-CA"/>
        </w:rPr>
        <w:t>/</w:t>
      </w:r>
      <w:r w:rsidRPr="00982FFA">
        <w:rPr>
          <w:rFonts w:ascii="Times New Roman" w:hAnsi="Times New Roman" w:cs="Times New Roman"/>
          <w:i/>
          <w:sz w:val="20"/>
          <w:szCs w:val="20"/>
          <w:lang w:val="fr-CA"/>
        </w:rPr>
        <w:t>Revue canadienne de droit et société</w:t>
      </w:r>
      <w:r w:rsidRPr="00982FFA">
        <w:rPr>
          <w:rFonts w:ascii="Times New Roman" w:hAnsi="Times New Roman" w:cs="Times New Roman"/>
          <w:sz w:val="20"/>
          <w:szCs w:val="20"/>
          <w:lang w:val="en-CA"/>
        </w:rPr>
        <w:t xml:space="preserve"> 26, no. 3 (2011): 509 at 525. See also McGill and Kirkup, </w:t>
      </w:r>
      <w:r w:rsidRPr="00982FFA">
        <w:rPr>
          <w:rFonts w:ascii="Times New Roman" w:hAnsi="Times New Roman" w:cs="Times New Roman"/>
          <w:i/>
          <w:sz w:val="20"/>
          <w:szCs w:val="20"/>
          <w:lang w:val="en-CA"/>
        </w:rPr>
        <w:t>supra</w:t>
      </w:r>
      <w:r w:rsidRPr="00982FFA">
        <w:rPr>
          <w:rFonts w:ascii="Times New Roman" w:hAnsi="Times New Roman" w:cs="Times New Roman"/>
          <w:sz w:val="20"/>
          <w:szCs w:val="20"/>
          <w:lang w:val="en-CA"/>
        </w:rPr>
        <w:t xml:space="preserve"> note 23 at 125, noting that the turn to human rights law runs the risk of distilling “complicated lived realities into the narrow identity categories required by anti-discrimination law.”</w:t>
      </w:r>
    </w:p>
  </w:footnote>
  <w:footnote w:id="43">
    <w:p w14:paraId="7849FBEF" w14:textId="476A0137"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Sarah Lamble, “Retelling racialized violence, remaking white innocence: The politics of interlocking oppressions in transgender day of remembrance,” </w:t>
      </w:r>
      <w:r w:rsidRPr="00982FFA">
        <w:rPr>
          <w:rFonts w:ascii="Times New Roman" w:hAnsi="Times New Roman" w:cs="Times New Roman"/>
          <w:i/>
          <w:sz w:val="20"/>
          <w:szCs w:val="20"/>
          <w:lang w:val="en-CA"/>
        </w:rPr>
        <w:t>Sexuality Research and Social Policy</w:t>
      </w:r>
      <w:r w:rsidRPr="00982FFA">
        <w:rPr>
          <w:rFonts w:ascii="Times New Roman" w:hAnsi="Times New Roman" w:cs="Times New Roman"/>
          <w:sz w:val="20"/>
          <w:szCs w:val="20"/>
          <w:lang w:val="en-CA"/>
        </w:rPr>
        <w:t xml:space="preserve"> 5, no. 1 (2008): 24 at 29. </w:t>
      </w:r>
    </w:p>
  </w:footnote>
  <w:footnote w:id="44">
    <w:p w14:paraId="0F305F19" w14:textId="1217D47B"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Spade, </w:t>
      </w:r>
      <w:r w:rsidRPr="00982FFA">
        <w:rPr>
          <w:rFonts w:ascii="Times New Roman" w:hAnsi="Times New Roman" w:cs="Times New Roman"/>
          <w:i/>
          <w:sz w:val="20"/>
          <w:szCs w:val="20"/>
          <w:lang w:val="en-CA"/>
        </w:rPr>
        <w:t>Normal Life</w:t>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supra</w:t>
      </w:r>
      <w:r w:rsidRPr="00982FFA">
        <w:rPr>
          <w:rFonts w:ascii="Times New Roman" w:hAnsi="Times New Roman" w:cs="Times New Roman"/>
          <w:sz w:val="20"/>
          <w:szCs w:val="20"/>
          <w:lang w:val="en-CA"/>
        </w:rPr>
        <w:t xml:space="preserve"> note 37 at 91. </w:t>
      </w:r>
    </w:p>
  </w:footnote>
  <w:footnote w:id="45">
    <w:p w14:paraId="1F9277B6" w14:textId="7265D9F9"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Ibid., 11. </w:t>
      </w:r>
    </w:p>
  </w:footnote>
  <w:footnote w:id="46">
    <w:p w14:paraId="20C6054D" w14:textId="01C52011"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Zemans, </w:t>
      </w:r>
      <w:r w:rsidRPr="00982FFA">
        <w:rPr>
          <w:rFonts w:ascii="Times New Roman" w:hAnsi="Times New Roman" w:cs="Times New Roman"/>
          <w:i/>
          <w:sz w:val="20"/>
          <w:szCs w:val="20"/>
          <w:lang w:val="en-CA"/>
        </w:rPr>
        <w:t>supra</w:t>
      </w:r>
      <w:r w:rsidRPr="00982FFA">
        <w:rPr>
          <w:rFonts w:ascii="Times New Roman" w:hAnsi="Times New Roman" w:cs="Times New Roman"/>
          <w:sz w:val="20"/>
          <w:szCs w:val="20"/>
          <w:lang w:val="en-CA"/>
        </w:rPr>
        <w:t xml:space="preserve"> note 28 at 695. </w:t>
      </w:r>
    </w:p>
  </w:footnote>
  <w:footnote w:id="47">
    <w:p w14:paraId="2F72690E" w14:textId="43A8A83A"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Ashley, </w:t>
      </w:r>
      <w:r w:rsidRPr="00982FFA">
        <w:rPr>
          <w:rFonts w:ascii="Times New Roman" w:hAnsi="Times New Roman" w:cs="Times New Roman"/>
          <w:i/>
          <w:sz w:val="20"/>
          <w:szCs w:val="20"/>
          <w:lang w:val="en-CA"/>
        </w:rPr>
        <w:t>supra</w:t>
      </w:r>
      <w:r w:rsidRPr="00982FFA">
        <w:rPr>
          <w:rFonts w:ascii="Times New Roman" w:hAnsi="Times New Roman" w:cs="Times New Roman"/>
          <w:sz w:val="20"/>
          <w:szCs w:val="20"/>
          <w:lang w:val="en-CA"/>
        </w:rPr>
        <w:t xml:space="preserve"> note 30 at 8. </w:t>
      </w:r>
    </w:p>
  </w:footnote>
  <w:footnote w:id="48">
    <w:p w14:paraId="2BEC7EF3" w14:textId="641F83D7"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Toby’s Act</w:t>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supra</w:t>
      </w:r>
      <w:r w:rsidRPr="00982FFA">
        <w:rPr>
          <w:rFonts w:ascii="Times New Roman" w:hAnsi="Times New Roman" w:cs="Times New Roman"/>
          <w:sz w:val="20"/>
          <w:szCs w:val="20"/>
          <w:lang w:val="en-CA"/>
        </w:rPr>
        <w:t xml:space="preserve"> note 3.</w:t>
      </w:r>
    </w:p>
  </w:footnote>
  <w:footnote w:id="49">
    <w:p w14:paraId="2588DFDF" w14:textId="1A998217"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OHRC, </w:t>
      </w:r>
      <w:r w:rsidRPr="00982FFA">
        <w:rPr>
          <w:rFonts w:ascii="Times New Roman" w:hAnsi="Times New Roman" w:cs="Times New Roman"/>
          <w:i/>
          <w:sz w:val="20"/>
          <w:szCs w:val="20"/>
          <w:lang w:val="en-CA"/>
        </w:rPr>
        <w:t>Gender Identity and Gender Expression</w:t>
      </w:r>
      <w:r w:rsidRPr="00982FFA">
        <w:rPr>
          <w:rFonts w:ascii="Times New Roman" w:hAnsi="Times New Roman" w:cs="Times New Roman"/>
          <w:sz w:val="20"/>
          <w:szCs w:val="20"/>
          <w:lang w:val="en-CA"/>
        </w:rPr>
        <w:t xml:space="preserve">, </w:t>
      </w:r>
      <w:r w:rsidRPr="00982FFA">
        <w:rPr>
          <w:rFonts w:ascii="Times New Roman" w:hAnsi="Times New Roman" w:cs="Times New Roman"/>
          <w:i/>
          <w:iCs/>
          <w:sz w:val="20"/>
          <w:szCs w:val="20"/>
          <w:lang w:val="en-CA"/>
        </w:rPr>
        <w:t>supra</w:t>
      </w:r>
      <w:r w:rsidRPr="00982FFA">
        <w:rPr>
          <w:rFonts w:ascii="Times New Roman" w:hAnsi="Times New Roman" w:cs="Times New Roman"/>
          <w:sz w:val="20"/>
          <w:szCs w:val="20"/>
          <w:lang w:val="en-CA"/>
        </w:rPr>
        <w:t xml:space="preserve"> note 6 at 7.</w:t>
      </w:r>
    </w:p>
  </w:footnote>
  <w:footnote w:id="50">
    <w:p w14:paraId="338B7A16" w14:textId="574B4720"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w:t>
      </w:r>
      <w:r w:rsidRPr="00982FFA">
        <w:rPr>
          <w:rFonts w:ascii="Times New Roman" w:hAnsi="Times New Roman" w:cs="Times New Roman"/>
          <w:iCs/>
          <w:sz w:val="20"/>
          <w:szCs w:val="20"/>
          <w:lang w:val="en-CA"/>
        </w:rPr>
        <w:t>Ibid</w:t>
      </w:r>
      <w:r w:rsidRPr="00982FFA">
        <w:rPr>
          <w:rFonts w:ascii="Times New Roman" w:hAnsi="Times New Roman" w:cs="Times New Roman"/>
          <w:i/>
          <w:iCs/>
          <w:sz w:val="20"/>
          <w:szCs w:val="20"/>
          <w:lang w:val="en-CA"/>
        </w:rPr>
        <w:t>.</w:t>
      </w:r>
      <w:r w:rsidRPr="00982FFA">
        <w:rPr>
          <w:rFonts w:ascii="Times New Roman" w:hAnsi="Times New Roman" w:cs="Times New Roman"/>
          <w:sz w:val="20"/>
          <w:szCs w:val="20"/>
          <w:lang w:val="en-CA"/>
        </w:rPr>
        <w:t xml:space="preserve"> </w:t>
      </w:r>
    </w:p>
  </w:footnote>
  <w:footnote w:id="51">
    <w:p w14:paraId="7156D30D" w14:textId="2671D16F"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See e.g. </w:t>
      </w:r>
      <w:r w:rsidRPr="00982FFA">
        <w:rPr>
          <w:rFonts w:ascii="Times New Roman" w:hAnsi="Times New Roman" w:cs="Times New Roman"/>
          <w:i/>
          <w:sz w:val="20"/>
          <w:szCs w:val="20"/>
          <w:lang w:val="en-CA"/>
        </w:rPr>
        <w:t>Browne v Sudbury Integrated Nickel Operations</w:t>
      </w:r>
      <w:r w:rsidRPr="00982FFA">
        <w:rPr>
          <w:rFonts w:ascii="Times New Roman" w:hAnsi="Times New Roman" w:cs="Times New Roman"/>
          <w:sz w:val="20"/>
          <w:szCs w:val="20"/>
          <w:lang w:val="en-CA"/>
        </w:rPr>
        <w:t>, 2016 HRTO 62 at paras 41–42 [</w:t>
      </w:r>
      <w:r w:rsidRPr="00982FFA">
        <w:rPr>
          <w:rFonts w:ascii="Times New Roman" w:hAnsi="Times New Roman" w:cs="Times New Roman"/>
          <w:i/>
          <w:sz w:val="20"/>
          <w:szCs w:val="20"/>
          <w:lang w:val="en-CA"/>
        </w:rPr>
        <w:t>Browne</w:t>
      </w:r>
      <w:r w:rsidRPr="00982FFA">
        <w:rPr>
          <w:rFonts w:ascii="Times New Roman" w:hAnsi="Times New Roman" w:cs="Times New Roman"/>
          <w:sz w:val="20"/>
          <w:szCs w:val="20"/>
          <w:lang w:val="en-CA"/>
        </w:rPr>
        <w:t>].</w:t>
      </w:r>
    </w:p>
  </w:footnote>
  <w:footnote w:id="52">
    <w:p w14:paraId="5AA18F1A" w14:textId="3DACF987"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As Shaun Fluker explains, “Perhaps all we can say for sure is that the application of </w:t>
      </w:r>
      <w:r w:rsidRPr="00982FFA">
        <w:rPr>
          <w:rFonts w:ascii="Times New Roman" w:hAnsi="Times New Roman" w:cs="Times New Roman"/>
          <w:i/>
          <w:iCs/>
          <w:sz w:val="20"/>
          <w:szCs w:val="20"/>
          <w:lang w:val="en-CA"/>
        </w:rPr>
        <w:t>stare decisis</w:t>
      </w:r>
      <w:r w:rsidRPr="00982FFA">
        <w:rPr>
          <w:rFonts w:ascii="Times New Roman" w:hAnsi="Times New Roman" w:cs="Times New Roman"/>
          <w:sz w:val="20"/>
          <w:szCs w:val="20"/>
          <w:lang w:val="en-CA"/>
        </w:rPr>
        <w:t xml:space="preserve"> to administrative decision-making is a tricky business” (Shaun Fluker, “The application of </w:t>
      </w:r>
      <w:r w:rsidRPr="00982FFA">
        <w:rPr>
          <w:rFonts w:ascii="Times New Roman" w:hAnsi="Times New Roman" w:cs="Times New Roman"/>
          <w:i/>
          <w:sz w:val="20"/>
          <w:szCs w:val="20"/>
          <w:lang w:val="en-CA"/>
        </w:rPr>
        <w:t>stare decisis</w:t>
      </w:r>
      <w:r w:rsidRPr="00982FFA">
        <w:rPr>
          <w:rFonts w:ascii="Times New Roman" w:hAnsi="Times New Roman" w:cs="Times New Roman"/>
          <w:sz w:val="20"/>
          <w:szCs w:val="20"/>
          <w:lang w:val="en-CA"/>
        </w:rPr>
        <w:t xml:space="preserve"> in administrative decision-making” </w:t>
      </w:r>
      <w:proofErr w:type="spellStart"/>
      <w:r w:rsidRPr="00982FFA">
        <w:rPr>
          <w:rFonts w:ascii="Times New Roman" w:hAnsi="Times New Roman" w:cs="Times New Roman"/>
          <w:sz w:val="20"/>
          <w:szCs w:val="20"/>
          <w:lang w:val="en-CA"/>
        </w:rPr>
        <w:t>ABLawg</w:t>
      </w:r>
      <w:proofErr w:type="spellEnd"/>
      <w:r w:rsidRPr="00982FFA">
        <w:rPr>
          <w:rFonts w:ascii="Times New Roman" w:hAnsi="Times New Roman" w:cs="Times New Roman"/>
          <w:sz w:val="20"/>
          <w:szCs w:val="20"/>
          <w:lang w:val="en-CA"/>
        </w:rPr>
        <w:t xml:space="preserve"> (19 May 2015), online: </w:t>
      </w:r>
      <w:proofErr w:type="spellStart"/>
      <w:r w:rsidRPr="00982FFA">
        <w:rPr>
          <w:rFonts w:ascii="Times New Roman" w:hAnsi="Times New Roman" w:cs="Times New Roman"/>
          <w:sz w:val="20"/>
          <w:szCs w:val="20"/>
          <w:lang w:val="en-CA"/>
        </w:rPr>
        <w:t>ABLawg</w:t>
      </w:r>
      <w:proofErr w:type="spellEnd"/>
      <w:r w:rsidRPr="00982FFA">
        <w:rPr>
          <w:rFonts w:ascii="Times New Roman" w:hAnsi="Times New Roman" w:cs="Times New Roman"/>
          <w:sz w:val="20"/>
          <w:szCs w:val="20"/>
          <w:lang w:val="en-CA"/>
        </w:rPr>
        <w:t xml:space="preserve"> &lt;www.ablawg.ca&gt;). See also Paul Daly, “The principle of </w:t>
      </w:r>
      <w:r w:rsidRPr="00982FFA">
        <w:rPr>
          <w:rFonts w:ascii="Times New Roman" w:hAnsi="Times New Roman" w:cs="Times New Roman"/>
          <w:i/>
          <w:iCs/>
          <w:sz w:val="20"/>
          <w:szCs w:val="20"/>
          <w:lang w:val="en-CA"/>
        </w:rPr>
        <w:t>stare decisis</w:t>
      </w:r>
      <w:r w:rsidRPr="00982FFA">
        <w:rPr>
          <w:rFonts w:ascii="Times New Roman" w:hAnsi="Times New Roman" w:cs="Times New Roman"/>
          <w:sz w:val="20"/>
          <w:szCs w:val="20"/>
          <w:lang w:val="en-CA"/>
        </w:rPr>
        <w:t xml:space="preserve"> in Canadian administrative law,” </w:t>
      </w:r>
      <w:r w:rsidR="00332839" w:rsidRPr="00461619">
        <w:rPr>
          <w:rFonts w:ascii="Times New Roman" w:hAnsi="Times New Roman" w:cs="Times New Roman"/>
          <w:i/>
          <w:iCs/>
          <w:sz w:val="20"/>
          <w:szCs w:val="20"/>
          <w:lang w:val="en-CA"/>
        </w:rPr>
        <w:t xml:space="preserve">Revue </w:t>
      </w:r>
      <w:proofErr w:type="spellStart"/>
      <w:r w:rsidR="00332839" w:rsidRPr="00461619">
        <w:rPr>
          <w:rFonts w:ascii="Times New Roman" w:hAnsi="Times New Roman" w:cs="Times New Roman"/>
          <w:i/>
          <w:iCs/>
          <w:sz w:val="20"/>
          <w:szCs w:val="20"/>
          <w:lang w:val="en-CA"/>
        </w:rPr>
        <w:t>juridique</w:t>
      </w:r>
      <w:proofErr w:type="spellEnd"/>
      <w:r w:rsidR="00332839" w:rsidRPr="00461619">
        <w:rPr>
          <w:rFonts w:ascii="Times New Roman" w:hAnsi="Times New Roman" w:cs="Times New Roman"/>
          <w:i/>
          <w:iCs/>
          <w:sz w:val="20"/>
          <w:szCs w:val="20"/>
          <w:lang w:val="en-CA"/>
        </w:rPr>
        <w:t xml:space="preserve"> </w:t>
      </w:r>
      <w:proofErr w:type="spellStart"/>
      <w:r w:rsidR="00332839" w:rsidRPr="00461619">
        <w:rPr>
          <w:rFonts w:ascii="Times New Roman" w:hAnsi="Times New Roman" w:cs="Times New Roman"/>
          <w:i/>
          <w:iCs/>
          <w:sz w:val="20"/>
          <w:szCs w:val="20"/>
          <w:lang w:val="en-CA"/>
        </w:rPr>
        <w:t>Thémis</w:t>
      </w:r>
      <w:proofErr w:type="spellEnd"/>
      <w:r w:rsidRPr="00982FFA">
        <w:rPr>
          <w:rFonts w:ascii="Times New Roman" w:hAnsi="Times New Roman" w:cs="Times New Roman"/>
          <w:sz w:val="20"/>
          <w:szCs w:val="20"/>
          <w:lang w:val="en-CA"/>
        </w:rPr>
        <w:t xml:space="preserve"> </w:t>
      </w:r>
      <w:r w:rsidR="00C0358E" w:rsidRPr="00461619">
        <w:rPr>
          <w:rFonts w:ascii="Times New Roman" w:hAnsi="Times New Roman" w:cs="Times New Roman"/>
          <w:i/>
          <w:iCs/>
          <w:sz w:val="20"/>
          <w:szCs w:val="20"/>
          <w:lang w:val="en-CA"/>
        </w:rPr>
        <w:t xml:space="preserve">de </w:t>
      </w:r>
      <w:proofErr w:type="spellStart"/>
      <w:r w:rsidR="00C0358E" w:rsidRPr="00461619">
        <w:rPr>
          <w:rFonts w:ascii="Times New Roman" w:hAnsi="Times New Roman" w:cs="Times New Roman"/>
          <w:i/>
          <w:iCs/>
          <w:sz w:val="20"/>
          <w:szCs w:val="20"/>
          <w:lang w:val="en-CA"/>
        </w:rPr>
        <w:t>l’Université</w:t>
      </w:r>
      <w:proofErr w:type="spellEnd"/>
      <w:r w:rsidR="00C0358E" w:rsidRPr="00461619">
        <w:rPr>
          <w:rFonts w:ascii="Times New Roman" w:hAnsi="Times New Roman" w:cs="Times New Roman"/>
          <w:i/>
          <w:iCs/>
          <w:sz w:val="20"/>
          <w:szCs w:val="20"/>
          <w:lang w:val="en-CA"/>
        </w:rPr>
        <w:t xml:space="preserve"> de Montréal</w:t>
      </w:r>
      <w:r w:rsidR="00C0358E" w:rsidRPr="00C0358E">
        <w:rPr>
          <w:rFonts w:ascii="Times New Roman" w:hAnsi="Times New Roman" w:cs="Times New Roman"/>
          <w:sz w:val="20"/>
          <w:szCs w:val="20"/>
          <w:lang w:val="en-CA"/>
        </w:rPr>
        <w:t xml:space="preserve"> </w:t>
      </w:r>
      <w:r w:rsidRPr="00982FFA">
        <w:rPr>
          <w:rFonts w:ascii="Times New Roman" w:hAnsi="Times New Roman" w:cs="Times New Roman"/>
          <w:sz w:val="20"/>
          <w:szCs w:val="20"/>
          <w:lang w:val="en-CA"/>
        </w:rPr>
        <w:t>49</w:t>
      </w:r>
      <w:r w:rsidR="00332839">
        <w:rPr>
          <w:rFonts w:ascii="Times New Roman" w:hAnsi="Times New Roman" w:cs="Times New Roman"/>
          <w:sz w:val="20"/>
          <w:szCs w:val="20"/>
          <w:lang w:val="en-CA"/>
        </w:rPr>
        <w:t>, no. 1</w:t>
      </w:r>
      <w:r w:rsidRPr="00982FFA">
        <w:rPr>
          <w:rFonts w:ascii="Times New Roman" w:hAnsi="Times New Roman" w:cs="Times New Roman"/>
          <w:sz w:val="20"/>
          <w:szCs w:val="20"/>
          <w:lang w:val="en-CA"/>
        </w:rPr>
        <w:t xml:space="preserve"> (2016): 757. </w:t>
      </w:r>
    </w:p>
  </w:footnote>
  <w:footnote w:id="53">
    <w:p w14:paraId="027943E0" w14:textId="48F298EE"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For further discussion of the emergence of sex-based anti-discrimination protections, see e.g. Dominique Clément, </w:t>
      </w:r>
      <w:r w:rsidRPr="00982FFA">
        <w:rPr>
          <w:rFonts w:ascii="Times New Roman" w:hAnsi="Times New Roman" w:cs="Times New Roman"/>
          <w:i/>
          <w:sz w:val="20"/>
          <w:szCs w:val="20"/>
          <w:lang w:val="en-CA"/>
        </w:rPr>
        <w:t>Equality deferred: Sex discrimination and British Columbia’s human rights state, 1953–84</w:t>
      </w:r>
      <w:r w:rsidRPr="00982FFA">
        <w:rPr>
          <w:rFonts w:ascii="Times New Roman" w:hAnsi="Times New Roman" w:cs="Times New Roman"/>
          <w:sz w:val="20"/>
          <w:szCs w:val="20"/>
          <w:lang w:val="en-CA"/>
        </w:rPr>
        <w:t xml:space="preserve"> (Vancouver: UBC Press, 2015). </w:t>
      </w:r>
    </w:p>
  </w:footnote>
  <w:footnote w:id="54">
    <w:p w14:paraId="000A2F84" w14:textId="78B3DFA0"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R. W. Connell. “Class, patriarchy, and Sartre’s theory of practice,” </w:t>
      </w:r>
      <w:r w:rsidRPr="00982FFA">
        <w:rPr>
          <w:rFonts w:ascii="Times New Roman" w:hAnsi="Times New Roman" w:cs="Times New Roman"/>
          <w:i/>
          <w:sz w:val="20"/>
          <w:szCs w:val="20"/>
          <w:lang w:val="en-CA"/>
        </w:rPr>
        <w:t>Theory and Society</w:t>
      </w:r>
      <w:r w:rsidRPr="00982FFA">
        <w:rPr>
          <w:rFonts w:ascii="Times New Roman" w:hAnsi="Times New Roman" w:cs="Times New Roman"/>
          <w:sz w:val="20"/>
          <w:szCs w:val="20"/>
          <w:lang w:val="en-CA"/>
        </w:rPr>
        <w:t xml:space="preserve"> 11 (1982): 305; R. W. Connell, </w:t>
      </w:r>
      <w:r w:rsidRPr="00982FFA">
        <w:rPr>
          <w:rFonts w:ascii="Times New Roman" w:hAnsi="Times New Roman" w:cs="Times New Roman"/>
          <w:i/>
          <w:sz w:val="20"/>
          <w:szCs w:val="20"/>
          <w:lang w:val="en-CA"/>
        </w:rPr>
        <w:t>Which way is up? Essays on sex, class and culture</w:t>
      </w:r>
      <w:r w:rsidRPr="00982FFA">
        <w:rPr>
          <w:rFonts w:ascii="Times New Roman" w:hAnsi="Times New Roman" w:cs="Times New Roman"/>
          <w:sz w:val="20"/>
          <w:szCs w:val="20"/>
          <w:lang w:val="en-CA"/>
        </w:rPr>
        <w:t xml:space="preserve"> (Sydney: Allen and Unwin, 1983); R. W. Connell, </w:t>
      </w:r>
      <w:r w:rsidRPr="00982FFA">
        <w:rPr>
          <w:rFonts w:ascii="Times New Roman" w:hAnsi="Times New Roman" w:cs="Times New Roman"/>
          <w:i/>
          <w:sz w:val="20"/>
          <w:szCs w:val="20"/>
          <w:lang w:val="en-CA"/>
        </w:rPr>
        <w:t>Gender and power: Society, the person and sexual politics</w:t>
      </w:r>
      <w:r w:rsidRPr="00982FFA">
        <w:rPr>
          <w:rFonts w:ascii="Times New Roman" w:hAnsi="Times New Roman" w:cs="Times New Roman"/>
          <w:sz w:val="20"/>
          <w:szCs w:val="20"/>
          <w:lang w:val="en-CA"/>
        </w:rPr>
        <w:t xml:space="preserve"> (Sydney: Allen and Unwin, 1987); and R. W. Connell and James W. Messerschmidt, “Hegemonic masculinity: Rethinking the concept,” </w:t>
      </w:r>
      <w:r w:rsidRPr="00982FFA">
        <w:rPr>
          <w:rFonts w:ascii="Times New Roman" w:hAnsi="Times New Roman" w:cs="Times New Roman"/>
          <w:i/>
          <w:sz w:val="20"/>
          <w:szCs w:val="20"/>
          <w:lang w:val="en-CA"/>
        </w:rPr>
        <w:t>Gender and Society</w:t>
      </w:r>
      <w:r w:rsidRPr="00982FFA">
        <w:rPr>
          <w:rFonts w:ascii="Times New Roman" w:hAnsi="Times New Roman" w:cs="Times New Roman"/>
          <w:sz w:val="20"/>
          <w:szCs w:val="20"/>
          <w:lang w:val="en-CA"/>
        </w:rPr>
        <w:t xml:space="preserve"> 19, no. 6 (2005): 829.</w:t>
      </w:r>
    </w:p>
  </w:footnote>
  <w:footnote w:id="55">
    <w:p w14:paraId="6DC073F9" w14:textId="3A4161F3"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 xml:space="preserve">Browne, supra </w:t>
      </w:r>
      <w:r w:rsidRPr="00982FFA">
        <w:rPr>
          <w:rFonts w:ascii="Times New Roman" w:hAnsi="Times New Roman" w:cs="Times New Roman"/>
          <w:sz w:val="20"/>
          <w:szCs w:val="20"/>
          <w:lang w:val="en-CA"/>
        </w:rPr>
        <w:t xml:space="preserve">note 50. </w:t>
      </w:r>
    </w:p>
  </w:footnote>
  <w:footnote w:id="56">
    <w:p w14:paraId="44EE2E48" w14:textId="6C4DCB86"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Ibid</w:t>
      </w:r>
      <w:r w:rsidRPr="00982FFA">
        <w:rPr>
          <w:rFonts w:ascii="Times New Roman" w:hAnsi="Times New Roman" w:cs="Times New Roman"/>
          <w:i/>
          <w:sz w:val="20"/>
          <w:szCs w:val="20"/>
          <w:lang w:val="en-CA"/>
        </w:rPr>
        <w:t>.</w:t>
      </w:r>
      <w:r w:rsidRPr="00982FFA">
        <w:rPr>
          <w:rFonts w:ascii="Times New Roman" w:hAnsi="Times New Roman" w:cs="Times New Roman"/>
          <w:sz w:val="20"/>
          <w:szCs w:val="20"/>
          <w:lang w:val="en-CA"/>
        </w:rPr>
        <w:t xml:space="preserve"> at para 7. </w:t>
      </w:r>
    </w:p>
  </w:footnote>
  <w:footnote w:id="57">
    <w:p w14:paraId="58889821" w14:textId="4B803DE3"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Ibid</w:t>
      </w:r>
      <w:r w:rsidRPr="00982FFA">
        <w:rPr>
          <w:rFonts w:ascii="Times New Roman" w:hAnsi="Times New Roman" w:cs="Times New Roman"/>
          <w:i/>
          <w:sz w:val="20"/>
          <w:szCs w:val="20"/>
          <w:lang w:val="en-CA"/>
        </w:rPr>
        <w:t xml:space="preserve">. </w:t>
      </w:r>
      <w:r w:rsidRPr="00982FFA">
        <w:rPr>
          <w:rFonts w:ascii="Times New Roman" w:hAnsi="Times New Roman" w:cs="Times New Roman"/>
          <w:sz w:val="20"/>
          <w:szCs w:val="20"/>
          <w:lang w:val="en-CA"/>
        </w:rPr>
        <w:t xml:space="preserve">at para 19. </w:t>
      </w:r>
    </w:p>
  </w:footnote>
  <w:footnote w:id="58">
    <w:p w14:paraId="59DAE361" w14:textId="673693BB"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Ibid</w:t>
      </w:r>
      <w:r w:rsidRPr="00982FFA">
        <w:rPr>
          <w:rFonts w:ascii="Times New Roman" w:hAnsi="Times New Roman" w:cs="Times New Roman"/>
          <w:i/>
          <w:sz w:val="20"/>
          <w:szCs w:val="20"/>
          <w:lang w:val="en-CA"/>
        </w:rPr>
        <w:t>.</w:t>
      </w:r>
      <w:r w:rsidRPr="00982FFA">
        <w:rPr>
          <w:rFonts w:ascii="Times New Roman" w:hAnsi="Times New Roman" w:cs="Times New Roman"/>
          <w:sz w:val="20"/>
          <w:szCs w:val="20"/>
          <w:lang w:val="en-CA"/>
        </w:rPr>
        <w:t xml:space="preserve"> at para 20. </w:t>
      </w:r>
    </w:p>
  </w:footnote>
  <w:footnote w:id="59">
    <w:p w14:paraId="708ACFF4" w14:textId="69048E11"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Ibid</w:t>
      </w:r>
      <w:r w:rsidRPr="00982FFA">
        <w:rPr>
          <w:rFonts w:ascii="Times New Roman" w:hAnsi="Times New Roman" w:cs="Times New Roman"/>
          <w:i/>
          <w:sz w:val="20"/>
          <w:szCs w:val="20"/>
          <w:lang w:val="en-CA"/>
        </w:rPr>
        <w:t>.</w:t>
      </w:r>
      <w:r w:rsidRPr="00982FFA">
        <w:rPr>
          <w:rFonts w:ascii="Times New Roman" w:hAnsi="Times New Roman" w:cs="Times New Roman"/>
          <w:sz w:val="20"/>
          <w:szCs w:val="20"/>
          <w:lang w:val="en-CA"/>
        </w:rPr>
        <w:t xml:space="preserve"> at para 37. Like the term “transgendered,” the term “cisgendered” should be avoided. Instead, adjectival terms such as “transgender” and “cisgender” are commonly preferred in transgender and/or non-binary communities. For further discussion, see The 519, </w:t>
      </w:r>
      <w:r w:rsidRPr="00982FFA">
        <w:rPr>
          <w:rFonts w:ascii="Times New Roman" w:hAnsi="Times New Roman" w:cs="Times New Roman"/>
          <w:i/>
          <w:iCs/>
          <w:sz w:val="20"/>
          <w:szCs w:val="20"/>
          <w:lang w:val="en-CA"/>
        </w:rPr>
        <w:t>Discussing trans and gender diverse people: A media reference guide</w:t>
      </w:r>
      <w:r w:rsidRPr="00982FFA">
        <w:rPr>
          <w:rFonts w:ascii="Times New Roman" w:hAnsi="Times New Roman" w:cs="Times New Roman"/>
          <w:sz w:val="20"/>
          <w:szCs w:val="20"/>
          <w:lang w:val="en-CA"/>
        </w:rPr>
        <w:t xml:space="preserve"> (Toronto: The 519, 2018), online: The 519 &lt;www.the519.org&gt;.</w:t>
      </w:r>
    </w:p>
  </w:footnote>
  <w:footnote w:id="60">
    <w:p w14:paraId="105E2FED" w14:textId="41FD9EAE"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Browne</w:t>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supra</w:t>
      </w:r>
      <w:r w:rsidRPr="00982FFA">
        <w:rPr>
          <w:rFonts w:ascii="Times New Roman" w:hAnsi="Times New Roman" w:cs="Times New Roman"/>
          <w:sz w:val="20"/>
          <w:szCs w:val="20"/>
          <w:lang w:val="en-CA"/>
        </w:rPr>
        <w:t xml:space="preserve"> note 50 at para 35. </w:t>
      </w:r>
    </w:p>
  </w:footnote>
  <w:footnote w:id="61">
    <w:p w14:paraId="5C0DB73A" w14:textId="786C014E"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Ibid</w:t>
      </w:r>
      <w:r w:rsidRPr="00982FFA">
        <w:rPr>
          <w:rFonts w:ascii="Times New Roman" w:hAnsi="Times New Roman" w:cs="Times New Roman"/>
          <w:i/>
          <w:sz w:val="20"/>
          <w:szCs w:val="20"/>
          <w:lang w:val="en-CA"/>
        </w:rPr>
        <w:t>.</w:t>
      </w:r>
      <w:r w:rsidRPr="00982FFA">
        <w:rPr>
          <w:rFonts w:ascii="Times New Roman" w:hAnsi="Times New Roman" w:cs="Times New Roman"/>
          <w:sz w:val="20"/>
          <w:szCs w:val="20"/>
          <w:lang w:val="en-CA"/>
        </w:rPr>
        <w:t xml:space="preserve"> at para 36. Individuals may identify as men, women, both, neither, or anywhere along the spectrum. This does not mean, however, that they “self-identif[y] as male (gender).” Moreover, individuals are typically identified with a sex at birth. This does not mean, however, that they were “born as a man (sex).” For further discussion, see Lee Airton, </w:t>
      </w:r>
      <w:r w:rsidRPr="00982FFA">
        <w:rPr>
          <w:rFonts w:ascii="Times New Roman" w:hAnsi="Times New Roman" w:cs="Times New Roman"/>
          <w:i/>
          <w:iCs/>
          <w:sz w:val="20"/>
          <w:szCs w:val="20"/>
          <w:lang w:val="en-CA"/>
        </w:rPr>
        <w:t>Gender: Your guide: A gender-friendly primer on what to know, what to say, and what to do in the new gender culture</w:t>
      </w:r>
      <w:r w:rsidRPr="00982FFA">
        <w:rPr>
          <w:rFonts w:ascii="Times New Roman" w:hAnsi="Times New Roman" w:cs="Times New Roman"/>
          <w:sz w:val="20"/>
          <w:szCs w:val="20"/>
          <w:lang w:val="en-CA"/>
        </w:rPr>
        <w:t xml:space="preserve"> (Toronto: Simon &amp; Schuster, 2018). </w:t>
      </w:r>
    </w:p>
  </w:footnote>
  <w:footnote w:id="62">
    <w:p w14:paraId="4EAF8745" w14:textId="348749B6"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Browne</w:t>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supra</w:t>
      </w:r>
      <w:r w:rsidRPr="00982FFA">
        <w:rPr>
          <w:rFonts w:ascii="Times New Roman" w:hAnsi="Times New Roman" w:cs="Times New Roman"/>
          <w:sz w:val="20"/>
          <w:szCs w:val="20"/>
          <w:lang w:val="en-CA"/>
        </w:rPr>
        <w:t xml:space="preserve"> note 50 at para 42. </w:t>
      </w:r>
    </w:p>
  </w:footnote>
  <w:footnote w:id="63">
    <w:p w14:paraId="0233EE27" w14:textId="3990A33C"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2016 HRTO 1116 [</w:t>
      </w:r>
      <w:r w:rsidRPr="00982FFA">
        <w:rPr>
          <w:rFonts w:ascii="Times New Roman" w:hAnsi="Times New Roman" w:cs="Times New Roman"/>
          <w:i/>
          <w:sz w:val="20"/>
          <w:szCs w:val="20"/>
          <w:lang w:val="en-CA"/>
        </w:rPr>
        <w:t>Barksey</w:t>
      </w:r>
      <w:r w:rsidRPr="00982FFA">
        <w:rPr>
          <w:rFonts w:ascii="Times New Roman" w:hAnsi="Times New Roman" w:cs="Times New Roman"/>
          <w:sz w:val="20"/>
          <w:szCs w:val="20"/>
          <w:lang w:val="en-CA"/>
        </w:rPr>
        <w:t xml:space="preserve">]. </w:t>
      </w:r>
    </w:p>
  </w:footnote>
  <w:footnote w:id="64">
    <w:p w14:paraId="1D4403E5" w14:textId="5551B8CD"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Ibid</w:t>
      </w:r>
      <w:r w:rsidRPr="00982FFA">
        <w:rPr>
          <w:rFonts w:ascii="Times New Roman" w:hAnsi="Times New Roman" w:cs="Times New Roman"/>
          <w:i/>
          <w:sz w:val="20"/>
          <w:szCs w:val="20"/>
          <w:lang w:val="en-CA"/>
        </w:rPr>
        <w:t>.</w:t>
      </w:r>
      <w:r w:rsidRPr="00982FFA">
        <w:rPr>
          <w:rFonts w:ascii="Times New Roman" w:hAnsi="Times New Roman" w:cs="Times New Roman"/>
          <w:sz w:val="20"/>
          <w:szCs w:val="20"/>
          <w:lang w:val="en-CA"/>
        </w:rPr>
        <w:t xml:space="preserve"> at para 36. </w:t>
      </w:r>
    </w:p>
  </w:footnote>
  <w:footnote w:id="65">
    <w:p w14:paraId="35A4B732" w14:textId="215D6B32"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For further discussion on the tension of “majoritizing” in trans advocacy and pedagogy, see Hilary Malatino, “Pedagogies of becoming: Trans inclusivity and the crafting of being,” </w:t>
      </w:r>
      <w:r w:rsidRPr="00982FFA">
        <w:rPr>
          <w:rFonts w:ascii="Times New Roman" w:hAnsi="Times New Roman" w:cs="Times New Roman"/>
          <w:i/>
          <w:sz w:val="20"/>
          <w:szCs w:val="20"/>
          <w:lang w:val="en-CA"/>
        </w:rPr>
        <w:t>Transgender Studies Quarterly</w:t>
      </w:r>
      <w:r w:rsidRPr="00982FFA">
        <w:rPr>
          <w:rFonts w:ascii="Times New Roman" w:hAnsi="Times New Roman" w:cs="Times New Roman"/>
          <w:sz w:val="20"/>
          <w:szCs w:val="20"/>
          <w:lang w:val="en-CA"/>
        </w:rPr>
        <w:t xml:space="preserve"> 2, no. 3 (2015): 395.</w:t>
      </w:r>
    </w:p>
  </w:footnote>
  <w:footnote w:id="66">
    <w:p w14:paraId="4097544D" w14:textId="4D7353FB"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Kirkup, “Origins,” </w:t>
      </w:r>
      <w:r w:rsidRPr="00982FFA">
        <w:rPr>
          <w:rFonts w:ascii="Times New Roman" w:hAnsi="Times New Roman" w:cs="Times New Roman"/>
          <w:i/>
          <w:sz w:val="20"/>
          <w:szCs w:val="20"/>
          <w:lang w:val="en-CA"/>
        </w:rPr>
        <w:t>supra</w:t>
      </w:r>
      <w:r w:rsidRPr="00982FFA">
        <w:rPr>
          <w:rFonts w:ascii="Times New Roman" w:hAnsi="Times New Roman" w:cs="Times New Roman"/>
          <w:sz w:val="20"/>
          <w:szCs w:val="20"/>
          <w:lang w:val="en-CA"/>
        </w:rPr>
        <w:t xml:space="preserve"> note 1 at 83–84, citing Eve Kosofsky Sedgwick, </w:t>
      </w:r>
      <w:r w:rsidRPr="00982FFA">
        <w:rPr>
          <w:rFonts w:ascii="Times New Roman" w:hAnsi="Times New Roman" w:cs="Times New Roman"/>
          <w:i/>
          <w:sz w:val="20"/>
          <w:szCs w:val="20"/>
          <w:lang w:val="en-CA"/>
        </w:rPr>
        <w:t xml:space="preserve">The Epistemology of the Closet </w:t>
      </w:r>
      <w:r w:rsidRPr="00982FFA">
        <w:rPr>
          <w:rFonts w:ascii="Times New Roman" w:hAnsi="Times New Roman" w:cs="Times New Roman"/>
          <w:sz w:val="20"/>
          <w:szCs w:val="20"/>
          <w:lang w:val="en-CA"/>
        </w:rPr>
        <w:t xml:space="preserve">(Berkeley: University of California Press, 2008), 85. </w:t>
      </w:r>
    </w:p>
  </w:footnote>
  <w:footnote w:id="67">
    <w:p w14:paraId="57885B59" w14:textId="76047049"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See e.g. </w:t>
      </w:r>
      <w:r w:rsidRPr="00982FFA">
        <w:rPr>
          <w:rFonts w:ascii="Times New Roman" w:hAnsi="Times New Roman" w:cs="Times New Roman"/>
          <w:i/>
          <w:sz w:val="20"/>
          <w:szCs w:val="20"/>
          <w:lang w:val="en-CA"/>
        </w:rPr>
        <w:t>Canadian National Railway Co. v. Canada (Canadian Human Rights Commission)</w:t>
      </w:r>
      <w:r w:rsidRPr="00982FFA">
        <w:rPr>
          <w:rFonts w:ascii="Times New Roman" w:hAnsi="Times New Roman" w:cs="Times New Roman"/>
          <w:sz w:val="20"/>
          <w:szCs w:val="20"/>
          <w:lang w:val="en-CA"/>
        </w:rPr>
        <w:t>, 1987 CanLII 109 (SCC), [1987] 1 SCR 1114 at 1134.</w:t>
      </w:r>
    </w:p>
  </w:footnote>
  <w:footnote w:id="68">
    <w:p w14:paraId="751ADC0A" w14:textId="40975664"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OHRC, </w:t>
      </w:r>
      <w:r w:rsidRPr="00982FFA">
        <w:rPr>
          <w:rFonts w:ascii="Times New Roman" w:hAnsi="Times New Roman" w:cs="Times New Roman"/>
          <w:i/>
          <w:sz w:val="20"/>
          <w:szCs w:val="20"/>
          <w:lang w:val="en-CA"/>
        </w:rPr>
        <w:t>Gender Identity and Gender Expression</w:t>
      </w:r>
      <w:r w:rsidRPr="00982FFA">
        <w:rPr>
          <w:rFonts w:ascii="Times New Roman" w:hAnsi="Times New Roman" w:cs="Times New Roman"/>
          <w:sz w:val="20"/>
          <w:szCs w:val="20"/>
          <w:lang w:val="en-CA"/>
        </w:rPr>
        <w:t xml:space="preserve">, </w:t>
      </w:r>
      <w:r w:rsidRPr="00982FFA">
        <w:rPr>
          <w:rFonts w:ascii="Times New Roman" w:hAnsi="Times New Roman" w:cs="Times New Roman"/>
          <w:i/>
          <w:iCs/>
          <w:sz w:val="20"/>
          <w:szCs w:val="20"/>
          <w:lang w:val="en-CA"/>
        </w:rPr>
        <w:t>supra</w:t>
      </w:r>
      <w:r w:rsidRPr="00982FFA">
        <w:rPr>
          <w:rFonts w:ascii="Times New Roman" w:hAnsi="Times New Roman" w:cs="Times New Roman"/>
          <w:sz w:val="20"/>
          <w:szCs w:val="20"/>
          <w:lang w:val="en-CA"/>
        </w:rPr>
        <w:t xml:space="preserve"> note 6 at 7. </w:t>
      </w:r>
    </w:p>
  </w:footnote>
  <w:footnote w:id="69">
    <w:p w14:paraId="63C4D980" w14:textId="605BE72E"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Browne</w:t>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supra</w:t>
      </w:r>
      <w:r w:rsidRPr="00982FFA">
        <w:rPr>
          <w:rFonts w:ascii="Times New Roman" w:hAnsi="Times New Roman" w:cs="Times New Roman"/>
          <w:sz w:val="20"/>
          <w:szCs w:val="20"/>
          <w:lang w:val="en-CA"/>
        </w:rPr>
        <w:t xml:space="preserve"> note 50 at para 41. </w:t>
      </w:r>
    </w:p>
  </w:footnote>
  <w:footnote w:id="70">
    <w:p w14:paraId="4C545F93" w14:textId="4D12A179"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For further discussion of the nature of discrimination, see Colleen Sheppard, </w:t>
      </w:r>
      <w:r w:rsidRPr="00982FFA">
        <w:rPr>
          <w:rFonts w:ascii="Times New Roman" w:hAnsi="Times New Roman" w:cs="Times New Roman"/>
          <w:i/>
          <w:iCs/>
          <w:sz w:val="20"/>
          <w:szCs w:val="20"/>
          <w:lang w:val="en-CA"/>
        </w:rPr>
        <w:t>Inclusive Equality: The Relational Dimensions of Systemic Discrimination in Canada</w:t>
      </w:r>
      <w:r w:rsidRPr="00982FFA">
        <w:rPr>
          <w:rFonts w:ascii="Times New Roman" w:hAnsi="Times New Roman" w:cs="Times New Roman"/>
          <w:sz w:val="20"/>
          <w:szCs w:val="20"/>
          <w:lang w:val="en-CA"/>
        </w:rPr>
        <w:t xml:space="preserve"> (Montreal &amp; Kingston: McGill-Queen’s University Press, 2010); Sophia R. Moreau, “The wrongs of unequal treatment,” </w:t>
      </w:r>
      <w:r w:rsidR="00C04A20" w:rsidRPr="00461619">
        <w:rPr>
          <w:rFonts w:ascii="Times New Roman" w:hAnsi="Times New Roman" w:cs="Times New Roman"/>
          <w:i/>
          <w:iCs/>
          <w:sz w:val="20"/>
          <w:szCs w:val="20"/>
          <w:lang w:val="en-CA"/>
        </w:rPr>
        <w:t>University of Toronto Law Journal</w:t>
      </w:r>
      <w:r w:rsidRPr="00982FFA">
        <w:rPr>
          <w:rFonts w:ascii="Times New Roman" w:hAnsi="Times New Roman" w:cs="Times New Roman"/>
          <w:sz w:val="20"/>
          <w:szCs w:val="20"/>
          <w:lang w:val="en-CA"/>
        </w:rPr>
        <w:t xml:space="preserve"> 54</w:t>
      </w:r>
      <w:r w:rsidR="00C04A20">
        <w:rPr>
          <w:rFonts w:ascii="Times New Roman" w:hAnsi="Times New Roman" w:cs="Times New Roman"/>
          <w:sz w:val="20"/>
          <w:szCs w:val="20"/>
          <w:lang w:val="en-CA"/>
        </w:rPr>
        <w:t>, No. 3</w:t>
      </w:r>
      <w:r w:rsidRPr="00982FFA">
        <w:rPr>
          <w:rFonts w:ascii="Times New Roman" w:hAnsi="Times New Roman" w:cs="Times New Roman"/>
          <w:sz w:val="20"/>
          <w:szCs w:val="20"/>
          <w:lang w:val="en-CA"/>
        </w:rPr>
        <w:t xml:space="preserve"> (2004): 291; and Robert </w:t>
      </w:r>
      <w:proofErr w:type="spellStart"/>
      <w:r w:rsidRPr="00982FFA">
        <w:rPr>
          <w:rFonts w:ascii="Times New Roman" w:hAnsi="Times New Roman" w:cs="Times New Roman"/>
          <w:sz w:val="20"/>
          <w:szCs w:val="20"/>
          <w:lang w:val="en-CA"/>
        </w:rPr>
        <w:t>Leckey</w:t>
      </w:r>
      <w:proofErr w:type="spellEnd"/>
      <w:r w:rsidRPr="00982FFA">
        <w:rPr>
          <w:rFonts w:ascii="Times New Roman" w:hAnsi="Times New Roman" w:cs="Times New Roman"/>
          <w:sz w:val="20"/>
          <w:szCs w:val="20"/>
          <w:lang w:val="en-CA"/>
        </w:rPr>
        <w:t xml:space="preserve">, “Chosen discrimination,” </w:t>
      </w:r>
      <w:r w:rsidRPr="00982FFA">
        <w:rPr>
          <w:rFonts w:ascii="Times New Roman" w:hAnsi="Times New Roman" w:cs="Times New Roman"/>
          <w:i/>
          <w:sz w:val="20"/>
          <w:szCs w:val="20"/>
          <w:lang w:val="en-CA"/>
        </w:rPr>
        <w:t>Supreme Court Law Review</w:t>
      </w:r>
      <w:r w:rsidRPr="00982FFA">
        <w:rPr>
          <w:rFonts w:ascii="Times New Roman" w:hAnsi="Times New Roman" w:cs="Times New Roman"/>
          <w:sz w:val="20"/>
          <w:szCs w:val="20"/>
          <w:lang w:val="en-CA"/>
        </w:rPr>
        <w:t xml:space="preserve"> (2d) 18 (2002): 445.</w:t>
      </w:r>
    </w:p>
  </w:footnote>
  <w:footnote w:id="71">
    <w:p w14:paraId="5BE363A4" w14:textId="545EC2B6" w:rsidR="00295F24" w:rsidRPr="00982FFA" w:rsidRDefault="00295F24" w:rsidP="00495630">
      <w:pPr>
        <w:spacing w:after="80"/>
        <w:rPr>
          <w:rFonts w:ascii="Times New Roman" w:eastAsia="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In the context of the equality guarantee set out in section 15 of the </w:t>
      </w:r>
      <w:r w:rsidRPr="00982FFA">
        <w:rPr>
          <w:rFonts w:ascii="Times New Roman" w:hAnsi="Times New Roman" w:cs="Times New Roman"/>
          <w:i/>
          <w:iCs/>
          <w:sz w:val="20"/>
          <w:szCs w:val="20"/>
          <w:lang w:val="en-CA"/>
        </w:rPr>
        <w:t>Charter</w:t>
      </w:r>
      <w:r w:rsidRPr="00982FFA">
        <w:rPr>
          <w:rFonts w:ascii="Times New Roman" w:hAnsi="Times New Roman" w:cs="Times New Roman"/>
          <w:sz w:val="20"/>
          <w:szCs w:val="20"/>
          <w:lang w:val="en-CA"/>
        </w:rPr>
        <w:t xml:space="preserve">, </w:t>
      </w:r>
      <w:r w:rsidRPr="00982FFA">
        <w:rPr>
          <w:rFonts w:ascii="Times New Roman" w:hAnsi="Times New Roman" w:cs="Times New Roman"/>
          <w:i/>
          <w:iCs/>
          <w:sz w:val="20"/>
          <w:szCs w:val="20"/>
          <w:lang w:val="en-CA"/>
        </w:rPr>
        <w:t>supra</w:t>
      </w:r>
      <w:r w:rsidRPr="00982FFA">
        <w:rPr>
          <w:rFonts w:ascii="Times New Roman" w:hAnsi="Times New Roman" w:cs="Times New Roman"/>
          <w:sz w:val="20"/>
          <w:szCs w:val="20"/>
          <w:lang w:val="en-CA"/>
        </w:rPr>
        <w:t xml:space="preserve"> note 15, see </w:t>
      </w:r>
      <w:r w:rsidRPr="00982FFA">
        <w:rPr>
          <w:rFonts w:ascii="Times New Roman" w:hAnsi="Times New Roman" w:cs="Times New Roman"/>
          <w:i/>
          <w:iCs/>
          <w:sz w:val="20"/>
          <w:szCs w:val="20"/>
          <w:lang w:val="en-CA"/>
        </w:rPr>
        <w:t>Quebec (Attorney General) v A</w:t>
      </w:r>
      <w:r w:rsidRPr="00982FFA">
        <w:rPr>
          <w:rFonts w:ascii="Times New Roman" w:hAnsi="Times New Roman" w:cs="Times New Roman"/>
          <w:sz w:val="20"/>
          <w:szCs w:val="20"/>
          <w:lang w:val="en-CA"/>
        </w:rPr>
        <w:t xml:space="preserve">, 2013 SCC 5 at para 177; and </w:t>
      </w:r>
      <w:r w:rsidRPr="00982FFA">
        <w:rPr>
          <w:rFonts w:ascii="Times New Roman" w:eastAsia="Times New Roman" w:hAnsi="Times New Roman" w:cs="Times New Roman"/>
          <w:i/>
          <w:iCs/>
          <w:color w:val="000000"/>
          <w:sz w:val="20"/>
          <w:szCs w:val="20"/>
          <w:lang w:val="en-CA"/>
        </w:rPr>
        <w:t>R v Kapp</w:t>
      </w:r>
      <w:r w:rsidRPr="00982FFA">
        <w:rPr>
          <w:rFonts w:ascii="Times New Roman" w:eastAsia="Times New Roman" w:hAnsi="Times New Roman" w:cs="Times New Roman"/>
          <w:color w:val="000000"/>
          <w:sz w:val="20"/>
          <w:szCs w:val="20"/>
          <w:lang w:val="en-CA"/>
        </w:rPr>
        <w:t xml:space="preserve">, 2008 SCC 41 </w:t>
      </w:r>
      <w:r w:rsidRPr="00982FFA">
        <w:rPr>
          <w:rFonts w:ascii="Times New Roman" w:hAnsi="Times New Roman" w:cs="Times New Roman"/>
          <w:sz w:val="20"/>
          <w:szCs w:val="20"/>
          <w:lang w:val="en-CA"/>
        </w:rPr>
        <w:t xml:space="preserve">at para 17. </w:t>
      </w:r>
    </w:p>
  </w:footnote>
  <w:footnote w:id="72">
    <w:p w14:paraId="74A41DD1" w14:textId="2D5B7611"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Kirkup, “Origins,” </w:t>
      </w:r>
      <w:r w:rsidRPr="00982FFA">
        <w:rPr>
          <w:rFonts w:ascii="Times New Roman" w:hAnsi="Times New Roman" w:cs="Times New Roman"/>
          <w:i/>
          <w:sz w:val="20"/>
          <w:szCs w:val="20"/>
          <w:lang w:val="en-CA"/>
        </w:rPr>
        <w:t>supra</w:t>
      </w:r>
      <w:r w:rsidRPr="00982FFA">
        <w:rPr>
          <w:rFonts w:ascii="Times New Roman" w:hAnsi="Times New Roman" w:cs="Times New Roman"/>
          <w:sz w:val="20"/>
          <w:szCs w:val="20"/>
          <w:lang w:val="en-CA"/>
        </w:rPr>
        <w:t xml:space="preserve"> note 1 at 110. </w:t>
      </w:r>
    </w:p>
  </w:footnote>
  <w:footnote w:id="73">
    <w:p w14:paraId="0B6D2D7D" w14:textId="3E12664F"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Ontario, Legislative Assembly, at 2291–2292 [emphasis added].</w:t>
      </w:r>
    </w:p>
  </w:footnote>
  <w:footnote w:id="74">
    <w:p w14:paraId="2850C6BB" w14:textId="3D182FF2"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Bill C-279, </w:t>
      </w:r>
      <w:r w:rsidRPr="00982FFA">
        <w:rPr>
          <w:rFonts w:ascii="Times New Roman" w:hAnsi="Times New Roman" w:cs="Times New Roman"/>
          <w:i/>
          <w:sz w:val="20"/>
          <w:szCs w:val="20"/>
          <w:lang w:val="en-CA"/>
        </w:rPr>
        <w:t>An Act to Amend the Canadian Human Rights Act and the Criminal Code (Gender Identity)</w:t>
      </w:r>
      <w:r w:rsidRPr="00982FFA">
        <w:rPr>
          <w:rFonts w:ascii="Times New Roman" w:hAnsi="Times New Roman" w:cs="Times New Roman"/>
          <w:sz w:val="20"/>
          <w:szCs w:val="20"/>
          <w:lang w:val="en-CA"/>
        </w:rPr>
        <w:t xml:space="preserve">, 1st Sess, 41st Parl, 2013. </w:t>
      </w:r>
    </w:p>
  </w:footnote>
  <w:footnote w:id="75">
    <w:p w14:paraId="7105D2A3" w14:textId="62EBB2D9"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Allyson M. Lunny, </w:t>
      </w:r>
      <w:r w:rsidRPr="00982FFA">
        <w:rPr>
          <w:rFonts w:ascii="Times New Roman" w:hAnsi="Times New Roman" w:cs="Times New Roman"/>
          <w:i/>
          <w:sz w:val="20"/>
          <w:szCs w:val="20"/>
          <w:lang w:val="en-CA"/>
        </w:rPr>
        <w:t>Debating hate crime: Language, legislatures, and the law in Canada</w:t>
      </w:r>
      <w:r w:rsidRPr="00982FFA">
        <w:rPr>
          <w:rFonts w:ascii="Times New Roman" w:hAnsi="Times New Roman" w:cs="Times New Roman"/>
          <w:sz w:val="20"/>
          <w:szCs w:val="20"/>
          <w:lang w:val="en-CA"/>
        </w:rPr>
        <w:t xml:space="preserve"> (Vancouver: UBC Press, 2017), 117. </w:t>
      </w:r>
    </w:p>
  </w:footnote>
  <w:footnote w:id="76">
    <w:p w14:paraId="7D8B359B" w14:textId="0EB3AD0B"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Ibid</w:t>
      </w:r>
      <w:r w:rsidRPr="00982FFA">
        <w:rPr>
          <w:rFonts w:ascii="Times New Roman" w:hAnsi="Times New Roman" w:cs="Times New Roman"/>
          <w:i/>
          <w:sz w:val="20"/>
          <w:szCs w:val="20"/>
          <w:lang w:val="en-CA"/>
        </w:rPr>
        <w:t>.</w:t>
      </w:r>
      <w:r w:rsidRPr="00982FFA">
        <w:rPr>
          <w:rFonts w:ascii="Times New Roman" w:hAnsi="Times New Roman" w:cs="Times New Roman"/>
          <w:sz w:val="20"/>
          <w:szCs w:val="20"/>
          <w:lang w:val="en-CA"/>
        </w:rPr>
        <w:t xml:space="preserve"> </w:t>
      </w:r>
    </w:p>
  </w:footnote>
  <w:footnote w:id="77">
    <w:p w14:paraId="00F7ADF5" w14:textId="3D73D152"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A complete list of the policies containing explicit definitions of “gender identity” and/or “gender expression” is set out in Appendix 1. </w:t>
      </w:r>
    </w:p>
  </w:footnote>
  <w:footnote w:id="78">
    <w:p w14:paraId="24E53688" w14:textId="5A0465E4"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Ottawa-Carleton District School Board, </w:t>
      </w:r>
      <w:r w:rsidRPr="00982FFA">
        <w:rPr>
          <w:rFonts w:ascii="Times New Roman" w:hAnsi="Times New Roman" w:cs="Times New Roman"/>
          <w:i/>
          <w:iCs/>
          <w:sz w:val="20"/>
          <w:szCs w:val="20"/>
          <w:lang w:val="en-CA"/>
        </w:rPr>
        <w:t>Gender Identity and Gender Expression: Guide to Support our Students</w:t>
      </w:r>
      <w:r w:rsidRPr="00982FFA">
        <w:rPr>
          <w:rFonts w:ascii="Times New Roman" w:hAnsi="Times New Roman" w:cs="Times New Roman"/>
          <w:sz w:val="20"/>
          <w:szCs w:val="20"/>
          <w:lang w:val="en-CA"/>
        </w:rPr>
        <w:t xml:space="preserve"> (2016); and </w:t>
      </w:r>
      <w:r w:rsidRPr="00982FFA">
        <w:rPr>
          <w:rFonts w:ascii="Times New Roman" w:eastAsia="Times New Roman" w:hAnsi="Times New Roman" w:cs="Times New Roman"/>
          <w:sz w:val="20"/>
          <w:szCs w:val="20"/>
          <w:bdr w:val="none" w:sz="0" w:space="0" w:color="auto" w:frame="1"/>
          <w:lang w:val="en-CA"/>
        </w:rPr>
        <w:t xml:space="preserve">Peel District School Board, </w:t>
      </w:r>
      <w:r w:rsidRPr="00982FFA">
        <w:rPr>
          <w:rFonts w:ascii="Times New Roman" w:eastAsia="Times New Roman" w:hAnsi="Times New Roman" w:cs="Times New Roman"/>
          <w:i/>
          <w:iCs/>
          <w:sz w:val="20"/>
          <w:szCs w:val="20"/>
          <w:bdr w:val="none" w:sz="0" w:space="0" w:color="auto" w:frame="1"/>
          <w:lang w:val="en-CA"/>
        </w:rPr>
        <w:t>Gender Identity and Gender Expression Guidelines</w:t>
      </w:r>
      <w:r w:rsidRPr="00982FFA">
        <w:rPr>
          <w:rFonts w:ascii="Times New Roman" w:eastAsia="Times New Roman" w:hAnsi="Times New Roman" w:cs="Times New Roman"/>
          <w:sz w:val="20"/>
          <w:szCs w:val="20"/>
          <w:bdr w:val="none" w:sz="0" w:space="0" w:color="auto" w:frame="1"/>
          <w:lang w:val="en-CA"/>
        </w:rPr>
        <w:t xml:space="preserve"> (2017).</w:t>
      </w:r>
    </w:p>
  </w:footnote>
  <w:footnote w:id="79">
    <w:p w14:paraId="59A47568" w14:textId="4E007261"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Toby’s Act</w:t>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supra</w:t>
      </w:r>
      <w:r w:rsidRPr="00982FFA">
        <w:rPr>
          <w:rFonts w:ascii="Times New Roman" w:hAnsi="Times New Roman" w:cs="Times New Roman"/>
          <w:sz w:val="20"/>
          <w:szCs w:val="20"/>
          <w:lang w:val="en-CA"/>
        </w:rPr>
        <w:t xml:space="preserve"> note 3. </w:t>
      </w:r>
    </w:p>
  </w:footnote>
  <w:footnote w:id="80">
    <w:p w14:paraId="03A71ED4" w14:textId="62C8E0E1"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For further information, see “The Genderbread Person,” online: https://www.genderbread.org/.</w:t>
      </w:r>
    </w:p>
  </w:footnote>
  <w:footnote w:id="81">
    <w:p w14:paraId="3CC89B26" w14:textId="1418C568"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Peel District School Board, </w:t>
      </w:r>
      <w:r w:rsidRPr="00982FFA">
        <w:rPr>
          <w:rFonts w:ascii="Times New Roman" w:hAnsi="Times New Roman" w:cs="Times New Roman"/>
          <w:i/>
          <w:sz w:val="20"/>
          <w:szCs w:val="20"/>
          <w:lang w:val="en-CA"/>
        </w:rPr>
        <w:t>Gender Identity and Gender Expression Guidelines</w:t>
      </w:r>
      <w:r w:rsidRPr="00982FFA">
        <w:rPr>
          <w:rFonts w:ascii="Times New Roman" w:hAnsi="Times New Roman" w:cs="Times New Roman"/>
          <w:sz w:val="20"/>
          <w:szCs w:val="20"/>
          <w:lang w:val="en-CA"/>
        </w:rPr>
        <w:t xml:space="preserve"> (2017) [emphasis added]. </w:t>
      </w:r>
    </w:p>
  </w:footnote>
  <w:footnote w:id="82">
    <w:p w14:paraId="1BAC22D2" w14:textId="4C937A85"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Browne</w:t>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supra</w:t>
      </w:r>
      <w:r w:rsidRPr="00982FFA">
        <w:rPr>
          <w:rFonts w:ascii="Times New Roman" w:hAnsi="Times New Roman" w:cs="Times New Roman"/>
          <w:sz w:val="20"/>
          <w:szCs w:val="20"/>
          <w:lang w:val="en-CA"/>
        </w:rPr>
        <w:t xml:space="preserve"> note 50 at para 36. </w:t>
      </w:r>
    </w:p>
  </w:footnote>
  <w:footnote w:id="83">
    <w:p w14:paraId="083B4A90" w14:textId="118E7767"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Barksey</w:t>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supra</w:t>
      </w:r>
      <w:r w:rsidRPr="00982FFA">
        <w:rPr>
          <w:rFonts w:ascii="Times New Roman" w:hAnsi="Times New Roman" w:cs="Times New Roman"/>
          <w:sz w:val="20"/>
          <w:szCs w:val="20"/>
          <w:lang w:val="en-CA"/>
        </w:rPr>
        <w:t xml:space="preserve"> note 62 at para 36. </w:t>
      </w:r>
    </w:p>
  </w:footnote>
  <w:footnote w:id="84">
    <w:p w14:paraId="2D5E83E1" w14:textId="23CB7608"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Greater Essex County District School Board, </w:t>
      </w:r>
      <w:r w:rsidRPr="00982FFA">
        <w:rPr>
          <w:rFonts w:ascii="Times New Roman" w:hAnsi="Times New Roman" w:cs="Times New Roman"/>
          <w:i/>
          <w:sz w:val="20"/>
          <w:szCs w:val="20"/>
          <w:lang w:val="en-CA"/>
        </w:rPr>
        <w:t>Supporting Gender Identity</w:t>
      </w:r>
      <w:r w:rsidRPr="00982FFA">
        <w:rPr>
          <w:rFonts w:ascii="Times New Roman" w:hAnsi="Times New Roman" w:cs="Times New Roman"/>
          <w:sz w:val="20"/>
          <w:szCs w:val="20"/>
          <w:lang w:val="en-CA"/>
        </w:rPr>
        <w:t xml:space="preserve"> (2016)</w:t>
      </w:r>
      <w:r w:rsidR="002D275E">
        <w:rPr>
          <w:rFonts w:ascii="Times New Roman" w:hAnsi="Times New Roman" w:cs="Times New Roman"/>
          <w:sz w:val="20"/>
          <w:szCs w:val="20"/>
          <w:lang w:val="en-CA"/>
        </w:rPr>
        <w:t xml:space="preserve"> [Essex, </w:t>
      </w:r>
      <w:r w:rsidR="002D275E" w:rsidRPr="00461619">
        <w:rPr>
          <w:rFonts w:ascii="Times New Roman" w:hAnsi="Times New Roman" w:cs="Times New Roman"/>
          <w:i/>
          <w:iCs/>
          <w:sz w:val="20"/>
          <w:szCs w:val="20"/>
          <w:lang w:val="en-CA"/>
        </w:rPr>
        <w:t>Supporting</w:t>
      </w:r>
      <w:r w:rsidR="002D275E">
        <w:rPr>
          <w:rFonts w:ascii="Times New Roman" w:hAnsi="Times New Roman" w:cs="Times New Roman"/>
          <w:sz w:val="20"/>
          <w:szCs w:val="20"/>
          <w:lang w:val="en-CA"/>
        </w:rPr>
        <w:t>]</w:t>
      </w:r>
      <w:r w:rsidRPr="00982FFA">
        <w:rPr>
          <w:rFonts w:ascii="Times New Roman" w:hAnsi="Times New Roman" w:cs="Times New Roman"/>
          <w:sz w:val="20"/>
          <w:szCs w:val="20"/>
          <w:lang w:val="en-CA"/>
        </w:rPr>
        <w:t xml:space="preserve">. </w:t>
      </w:r>
    </w:p>
  </w:footnote>
  <w:footnote w:id="85">
    <w:p w14:paraId="4171CDD4" w14:textId="2D7000E4"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Toronto District School Board, </w:t>
      </w:r>
      <w:r w:rsidRPr="00982FFA">
        <w:rPr>
          <w:rFonts w:ascii="Times New Roman" w:hAnsi="Times New Roman" w:cs="Times New Roman"/>
          <w:i/>
          <w:sz w:val="20"/>
          <w:szCs w:val="20"/>
          <w:lang w:val="en-CA"/>
        </w:rPr>
        <w:t>Equity Policy</w:t>
      </w:r>
      <w:r w:rsidRPr="00982FFA">
        <w:rPr>
          <w:rFonts w:ascii="Times New Roman" w:hAnsi="Times New Roman" w:cs="Times New Roman"/>
          <w:sz w:val="20"/>
          <w:szCs w:val="20"/>
          <w:lang w:val="en-CA"/>
        </w:rPr>
        <w:t xml:space="preserve"> (2018). See also Toronto District School Board, </w:t>
      </w:r>
      <w:r w:rsidRPr="00982FFA">
        <w:rPr>
          <w:rFonts w:ascii="Times New Roman" w:hAnsi="Times New Roman" w:cs="Times New Roman"/>
          <w:i/>
          <w:sz w:val="20"/>
          <w:szCs w:val="20"/>
          <w:lang w:val="en-CA"/>
        </w:rPr>
        <w:t>Guidelines for Supporting Transgender Students and Staff</w:t>
      </w:r>
      <w:r w:rsidRPr="00982FFA">
        <w:rPr>
          <w:rFonts w:ascii="Times New Roman" w:hAnsi="Times New Roman" w:cs="Times New Roman"/>
          <w:sz w:val="20"/>
          <w:szCs w:val="20"/>
          <w:lang w:val="en-CA"/>
        </w:rPr>
        <w:t xml:space="preserve"> (2013). </w:t>
      </w:r>
    </w:p>
  </w:footnote>
  <w:footnote w:id="86">
    <w:p w14:paraId="7D2C40D2" w14:textId="67A625FF"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Renfrew </w:t>
      </w:r>
      <w:r w:rsidRPr="00982FFA">
        <w:rPr>
          <w:rFonts w:ascii="Times New Roman" w:eastAsia="Times New Roman" w:hAnsi="Times New Roman" w:cs="Times New Roman"/>
          <w:sz w:val="20"/>
          <w:szCs w:val="20"/>
          <w:bdr w:val="none" w:sz="0" w:space="0" w:color="auto" w:frame="1"/>
          <w:lang w:val="en-CA"/>
        </w:rPr>
        <w:t>County District School Board,</w:t>
      </w:r>
      <w:r w:rsidRPr="00982FFA">
        <w:rPr>
          <w:rFonts w:ascii="Times New Roman" w:hAnsi="Times New Roman" w:cs="Times New Roman"/>
          <w:sz w:val="20"/>
          <w:szCs w:val="20"/>
          <w:lang w:val="en-CA"/>
        </w:rPr>
        <w:t xml:space="preserve"> </w:t>
      </w:r>
      <w:r w:rsidRPr="00982FFA">
        <w:rPr>
          <w:rFonts w:ascii="Times New Roman" w:hAnsi="Times New Roman" w:cs="Times New Roman"/>
          <w:i/>
          <w:sz w:val="20"/>
          <w:szCs w:val="20"/>
          <w:lang w:val="en-CA"/>
        </w:rPr>
        <w:t>Transgender Students Policy</w:t>
      </w:r>
      <w:r w:rsidRPr="00982FFA">
        <w:rPr>
          <w:rFonts w:ascii="Times New Roman" w:hAnsi="Times New Roman" w:cs="Times New Roman"/>
          <w:sz w:val="20"/>
          <w:szCs w:val="20"/>
          <w:lang w:val="en-CA"/>
        </w:rPr>
        <w:t xml:space="preserve"> (2015); and Rainy River District School Board, </w:t>
      </w:r>
      <w:r w:rsidRPr="00982FFA">
        <w:rPr>
          <w:rFonts w:ascii="Times New Roman" w:hAnsi="Times New Roman" w:cs="Times New Roman"/>
          <w:i/>
          <w:sz w:val="20"/>
          <w:szCs w:val="20"/>
          <w:lang w:val="en-CA"/>
        </w:rPr>
        <w:t>Safe Schools Policy</w:t>
      </w:r>
      <w:r w:rsidRPr="00982FFA">
        <w:rPr>
          <w:rFonts w:ascii="Times New Roman" w:hAnsi="Times New Roman" w:cs="Times New Roman"/>
          <w:sz w:val="20"/>
          <w:szCs w:val="20"/>
          <w:lang w:val="en-CA"/>
        </w:rPr>
        <w:t xml:space="preserve"> (2018).</w:t>
      </w:r>
    </w:p>
  </w:footnote>
  <w:footnote w:id="87">
    <w:p w14:paraId="334A4B5C" w14:textId="68D615CA"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Essex</w:t>
      </w:r>
      <w:r w:rsidR="0092550C">
        <w:rPr>
          <w:rFonts w:ascii="Times New Roman" w:hAnsi="Times New Roman" w:cs="Times New Roman"/>
          <w:sz w:val="20"/>
          <w:szCs w:val="20"/>
          <w:lang w:val="en-CA"/>
        </w:rPr>
        <w:t xml:space="preserve">, </w:t>
      </w:r>
      <w:r w:rsidR="0092550C" w:rsidRPr="00461619">
        <w:rPr>
          <w:rFonts w:ascii="Times New Roman" w:hAnsi="Times New Roman" w:cs="Times New Roman"/>
          <w:i/>
          <w:iCs/>
          <w:sz w:val="20"/>
          <w:szCs w:val="20"/>
          <w:lang w:val="en-CA"/>
        </w:rPr>
        <w:t>Supporting</w:t>
      </w:r>
      <w:r w:rsidR="0092550C">
        <w:rPr>
          <w:rFonts w:ascii="Times New Roman" w:hAnsi="Times New Roman" w:cs="Times New Roman"/>
          <w:sz w:val="20"/>
          <w:szCs w:val="20"/>
          <w:lang w:val="en-CA"/>
        </w:rPr>
        <w:t xml:space="preserve">, </w:t>
      </w:r>
      <w:r w:rsidR="0092550C" w:rsidRPr="00461619">
        <w:rPr>
          <w:rFonts w:ascii="Times New Roman" w:hAnsi="Times New Roman" w:cs="Times New Roman"/>
          <w:i/>
          <w:iCs/>
          <w:sz w:val="20"/>
          <w:szCs w:val="20"/>
          <w:lang w:val="en-CA"/>
        </w:rPr>
        <w:t>supra</w:t>
      </w:r>
      <w:r w:rsidR="0092550C">
        <w:rPr>
          <w:rFonts w:ascii="Times New Roman" w:hAnsi="Times New Roman" w:cs="Times New Roman"/>
          <w:sz w:val="20"/>
          <w:szCs w:val="20"/>
          <w:lang w:val="en-CA"/>
        </w:rPr>
        <w:t xml:space="preserve"> note 83.</w:t>
      </w:r>
    </w:p>
  </w:footnote>
  <w:footnote w:id="88">
    <w:p w14:paraId="4FD58B5A" w14:textId="39868FF9"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Upper Grand District School Board, </w:t>
      </w:r>
      <w:r w:rsidRPr="00982FFA">
        <w:rPr>
          <w:rFonts w:ascii="Times New Roman" w:hAnsi="Times New Roman" w:cs="Times New Roman"/>
          <w:i/>
          <w:sz w:val="20"/>
          <w:szCs w:val="20"/>
          <w:lang w:val="en-CA"/>
        </w:rPr>
        <w:t>Equity and Inclusive Education Manual</w:t>
      </w:r>
      <w:r w:rsidRPr="00982FFA">
        <w:rPr>
          <w:rFonts w:ascii="Times New Roman" w:hAnsi="Times New Roman" w:cs="Times New Roman"/>
          <w:sz w:val="20"/>
          <w:szCs w:val="20"/>
          <w:lang w:val="en-CA"/>
        </w:rPr>
        <w:t xml:space="preserve"> (2016). </w:t>
      </w:r>
    </w:p>
  </w:footnote>
  <w:footnote w:id="89">
    <w:p w14:paraId="3C655926" w14:textId="1AD28AD0" w:rsidR="00295F24" w:rsidRPr="00982FFA" w:rsidRDefault="00295F24" w:rsidP="00495630">
      <w:pPr>
        <w:pStyle w:val="FootnoteText"/>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Browne, </w:t>
      </w:r>
      <w:r w:rsidRPr="00982FFA">
        <w:rPr>
          <w:rFonts w:ascii="Times New Roman" w:hAnsi="Times New Roman" w:cs="Times New Roman"/>
          <w:i/>
          <w:sz w:val="20"/>
          <w:szCs w:val="20"/>
          <w:lang w:val="en-CA"/>
        </w:rPr>
        <w:t>supra</w:t>
      </w:r>
      <w:r w:rsidRPr="00982FFA">
        <w:rPr>
          <w:rFonts w:ascii="Times New Roman" w:hAnsi="Times New Roman" w:cs="Times New Roman"/>
          <w:sz w:val="20"/>
          <w:szCs w:val="20"/>
          <w:lang w:val="en-CA"/>
        </w:rPr>
        <w:t xml:space="preserve"> note 50 at para 35. </w:t>
      </w:r>
    </w:p>
  </w:footnote>
  <w:footnote w:id="90">
    <w:p w14:paraId="79749FAB" w14:textId="267D1B53" w:rsidR="00295F24" w:rsidRPr="00982FFA" w:rsidRDefault="00295F24" w:rsidP="00495630">
      <w:pPr>
        <w:spacing w:after="80"/>
        <w:rPr>
          <w:rFonts w:ascii="Times New Roman" w:hAnsi="Times New Roman" w:cs="Times New Roman"/>
          <w:sz w:val="20"/>
          <w:szCs w:val="20"/>
          <w:lang w:val="en-CA"/>
        </w:rPr>
      </w:pPr>
      <w:r w:rsidRPr="00982FFA">
        <w:rPr>
          <w:rStyle w:val="FootnoteReference"/>
          <w:rFonts w:ascii="Times New Roman" w:hAnsi="Times New Roman" w:cs="Times New Roman"/>
          <w:sz w:val="20"/>
          <w:szCs w:val="20"/>
          <w:lang w:val="en-CA"/>
        </w:rPr>
        <w:footnoteRef/>
      </w:r>
      <w:r w:rsidRPr="00982FFA">
        <w:rPr>
          <w:rFonts w:ascii="Times New Roman" w:hAnsi="Times New Roman" w:cs="Times New Roman"/>
          <w:sz w:val="20"/>
          <w:szCs w:val="20"/>
          <w:lang w:val="en-CA"/>
        </w:rPr>
        <w:t xml:space="preserve"> Changes to the sexual education curriculum in Ontario were recently challenged: </w:t>
      </w:r>
      <w:r w:rsidRPr="00982FFA">
        <w:rPr>
          <w:rFonts w:ascii="Times New Roman" w:hAnsi="Times New Roman" w:cs="Times New Roman"/>
          <w:i/>
          <w:iCs/>
          <w:color w:val="000000"/>
          <w:sz w:val="20"/>
          <w:szCs w:val="20"/>
          <w:shd w:val="clear" w:color="auto" w:fill="FFFFFF"/>
          <w:lang w:val="en-CA"/>
        </w:rPr>
        <w:t>ETFO et al. v Her Majesty the Queen</w:t>
      </w:r>
      <w:r w:rsidRPr="00982FFA">
        <w:rPr>
          <w:rFonts w:ascii="Times New Roman" w:hAnsi="Times New Roman" w:cs="Times New Roman"/>
          <w:color w:val="000000"/>
          <w:sz w:val="20"/>
          <w:szCs w:val="20"/>
          <w:shd w:val="clear" w:color="auto" w:fill="FFFFFF"/>
          <w:lang w:val="en-CA"/>
        </w:rPr>
        <w:t xml:space="preserve">, 2019 ONSC 1308. For media coverage of the curriculum changes and legal challenge, see The Canadian Press, “Reinstate scrapped Ontario sex-ed curriculum, lawyers argue as human rights case wraps,” </w:t>
      </w:r>
      <w:r w:rsidRPr="00982FFA">
        <w:rPr>
          <w:rFonts w:ascii="Times New Roman" w:hAnsi="Times New Roman" w:cs="Times New Roman"/>
          <w:i/>
          <w:iCs/>
          <w:color w:val="000000"/>
          <w:sz w:val="20"/>
          <w:szCs w:val="20"/>
          <w:shd w:val="clear" w:color="auto" w:fill="FFFFFF"/>
          <w:lang w:val="en-CA"/>
        </w:rPr>
        <w:t>CBC News</w:t>
      </w:r>
      <w:r w:rsidRPr="00982FFA">
        <w:rPr>
          <w:rFonts w:ascii="Times New Roman" w:hAnsi="Times New Roman" w:cs="Times New Roman"/>
          <w:color w:val="000000"/>
          <w:sz w:val="20"/>
          <w:szCs w:val="20"/>
          <w:shd w:val="clear" w:color="auto" w:fill="FFFFFF"/>
          <w:lang w:val="en-CA"/>
        </w:rPr>
        <w:t xml:space="preserve"> (7 February 2019), online: CBC News &lt;http://www.cbc.ca/news&gt;; and </w:t>
      </w:r>
      <w:r w:rsidRPr="00982FFA">
        <w:rPr>
          <w:rFonts w:ascii="Times New Roman" w:hAnsi="Times New Roman" w:cs="Times New Roman"/>
          <w:sz w:val="20"/>
          <w:szCs w:val="20"/>
          <w:lang w:val="en-CA"/>
        </w:rPr>
        <w:t xml:space="preserve">Isabel Teotonio, Rob Ferguson, and Kristin Rushowy, “Teachers and civil rights group lose legal challenge of Ontario’s controversial sex-ed rollback,” </w:t>
      </w:r>
      <w:r w:rsidRPr="00982FFA">
        <w:rPr>
          <w:rFonts w:ascii="Times New Roman" w:hAnsi="Times New Roman" w:cs="Times New Roman"/>
          <w:i/>
          <w:iCs/>
          <w:sz w:val="20"/>
          <w:szCs w:val="20"/>
          <w:lang w:val="en-CA"/>
        </w:rPr>
        <w:t>Toronto Star</w:t>
      </w:r>
      <w:r w:rsidRPr="00982FFA">
        <w:rPr>
          <w:rFonts w:ascii="Times New Roman" w:hAnsi="Times New Roman" w:cs="Times New Roman"/>
          <w:sz w:val="20"/>
          <w:szCs w:val="20"/>
          <w:lang w:val="en-CA"/>
        </w:rPr>
        <w:t xml:space="preserve"> (28 February 2019), online: Toronto Star &lt;http://www.thestar.com&gt;.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F09F" w14:textId="77777777" w:rsidR="00295F24" w:rsidRPr="004B3187" w:rsidRDefault="00295F24" w:rsidP="004D59FA">
    <w:pPr>
      <w:pStyle w:val="Header"/>
      <w:framePr w:wrap="around" w:vAnchor="text" w:hAnchor="margin" w:xAlign="outside" w:y="1"/>
      <w:rPr>
        <w:rStyle w:val="PageNumber"/>
        <w:rFonts w:ascii="Times New Roman" w:hAnsi="Times New Roman"/>
        <w:sz w:val="20"/>
        <w:szCs w:val="20"/>
      </w:rPr>
    </w:pPr>
    <w:r w:rsidRPr="004B3187">
      <w:rPr>
        <w:rStyle w:val="PageNumber"/>
        <w:rFonts w:ascii="Times New Roman" w:hAnsi="Times New Roman"/>
        <w:sz w:val="20"/>
        <w:szCs w:val="20"/>
      </w:rPr>
      <w:fldChar w:fldCharType="begin"/>
    </w:r>
    <w:r w:rsidRPr="004B3187">
      <w:rPr>
        <w:rStyle w:val="PageNumber"/>
        <w:rFonts w:ascii="Times New Roman" w:hAnsi="Times New Roman"/>
        <w:sz w:val="20"/>
        <w:szCs w:val="20"/>
      </w:rPr>
      <w:instrText xml:space="preserve">PAGE  </w:instrText>
    </w:r>
    <w:r w:rsidRPr="004B3187">
      <w:rPr>
        <w:rStyle w:val="PageNumber"/>
        <w:rFonts w:ascii="Times New Roman" w:hAnsi="Times New Roman"/>
        <w:sz w:val="20"/>
        <w:szCs w:val="20"/>
      </w:rPr>
      <w:fldChar w:fldCharType="separate"/>
    </w:r>
    <w:r w:rsidR="007E4885">
      <w:rPr>
        <w:rStyle w:val="PageNumber"/>
        <w:rFonts w:ascii="Times New Roman" w:hAnsi="Times New Roman"/>
        <w:noProof/>
        <w:sz w:val="20"/>
        <w:szCs w:val="20"/>
      </w:rPr>
      <w:t>36</w:t>
    </w:r>
    <w:r w:rsidRPr="004B3187">
      <w:rPr>
        <w:rStyle w:val="PageNumber"/>
        <w:rFonts w:ascii="Times New Roman" w:hAnsi="Times New Roman"/>
        <w:sz w:val="20"/>
        <w:szCs w:val="20"/>
      </w:rPr>
      <w:fldChar w:fldCharType="end"/>
    </w:r>
  </w:p>
  <w:p w14:paraId="2DC26143" w14:textId="50943039" w:rsidR="00295F24" w:rsidRPr="00164833" w:rsidRDefault="00295F24" w:rsidP="00C2440C">
    <w:pPr>
      <w:pStyle w:val="Header"/>
      <w:ind w:right="360" w:firstLine="360"/>
      <w:rPr>
        <w:rFonts w:ascii="Times New Roman" w:hAnsi="Times New Roman" w:cs="Times New Roman"/>
        <w:sz w:val="20"/>
        <w:szCs w:val="20"/>
      </w:rPr>
    </w:pPr>
    <w:r w:rsidRPr="00164833">
      <w:rPr>
        <w:rFonts w:ascii="Times New Roman" w:hAnsi="Times New Roman" w:cs="Times New Roman"/>
        <w:sz w:val="20"/>
        <w:szCs w:val="20"/>
      </w:rPr>
      <w:t>Kirkup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0563" w14:textId="77777777" w:rsidR="00295F24" w:rsidRPr="00403416" w:rsidRDefault="00295F24" w:rsidP="004D59FA">
    <w:pPr>
      <w:pStyle w:val="Header"/>
      <w:framePr w:wrap="around" w:vAnchor="text" w:hAnchor="margin" w:xAlign="outside" w:y="1"/>
      <w:rPr>
        <w:rStyle w:val="PageNumber"/>
        <w:rFonts w:ascii="Times New Roman" w:hAnsi="Times New Roman"/>
        <w:sz w:val="20"/>
        <w:szCs w:val="20"/>
      </w:rPr>
    </w:pPr>
    <w:r w:rsidRPr="00403416">
      <w:rPr>
        <w:rStyle w:val="PageNumber"/>
        <w:rFonts w:ascii="Times New Roman" w:hAnsi="Times New Roman"/>
        <w:sz w:val="20"/>
        <w:szCs w:val="20"/>
      </w:rPr>
      <w:fldChar w:fldCharType="begin"/>
    </w:r>
    <w:r w:rsidRPr="00403416">
      <w:rPr>
        <w:rStyle w:val="PageNumber"/>
        <w:rFonts w:ascii="Times New Roman" w:hAnsi="Times New Roman"/>
        <w:sz w:val="20"/>
        <w:szCs w:val="20"/>
      </w:rPr>
      <w:instrText xml:space="preserve">PAGE  </w:instrText>
    </w:r>
    <w:r w:rsidRPr="00403416">
      <w:rPr>
        <w:rStyle w:val="PageNumber"/>
        <w:rFonts w:ascii="Times New Roman" w:hAnsi="Times New Roman"/>
        <w:sz w:val="20"/>
        <w:szCs w:val="20"/>
      </w:rPr>
      <w:fldChar w:fldCharType="separate"/>
    </w:r>
    <w:r w:rsidR="007E4885">
      <w:rPr>
        <w:rStyle w:val="PageNumber"/>
        <w:rFonts w:ascii="Times New Roman" w:hAnsi="Times New Roman"/>
        <w:noProof/>
        <w:sz w:val="20"/>
        <w:szCs w:val="20"/>
      </w:rPr>
      <w:t>35</w:t>
    </w:r>
    <w:r w:rsidRPr="00403416">
      <w:rPr>
        <w:rStyle w:val="PageNumber"/>
        <w:rFonts w:ascii="Times New Roman" w:hAnsi="Times New Roman"/>
        <w:sz w:val="20"/>
        <w:szCs w:val="20"/>
      </w:rPr>
      <w:fldChar w:fldCharType="end"/>
    </w:r>
  </w:p>
  <w:p w14:paraId="25669FAC" w14:textId="0A07AA73" w:rsidR="00295F24" w:rsidRPr="008652CE" w:rsidRDefault="00295F24" w:rsidP="00C2440C">
    <w:pPr>
      <w:pStyle w:val="Header"/>
      <w:ind w:right="360" w:firstLine="360"/>
      <w:jc w:val="right"/>
      <w:rPr>
        <w:sz w:val="20"/>
      </w:rPr>
    </w:pPr>
    <w:r w:rsidRPr="008652CE">
      <w:rPr>
        <w:rFonts w:ascii="Times New Roman" w:hAnsi="Times New Roman" w:cs="Times New Roman"/>
        <w:sz w:val="20"/>
        <w:lang w:val="en-CA"/>
      </w:rPr>
      <w:t>The Aftermath of Human Rights Protections: Gender Identity,</w:t>
    </w:r>
    <w:r>
      <w:rPr>
        <w:rFonts w:ascii="Times New Roman" w:hAnsi="Times New Roman" w:cs="Times New Roman"/>
        <w:sz w:val="20"/>
        <w:lang w:val="en-CA"/>
      </w:rPr>
      <w:br/>
    </w:r>
    <w:r w:rsidRPr="008652CE">
      <w:rPr>
        <w:rFonts w:ascii="Times New Roman" w:hAnsi="Times New Roman" w:cs="Times New Roman"/>
        <w:sz w:val="20"/>
        <w:lang w:val="en-CA"/>
      </w:rPr>
      <w:t xml:space="preserve"> Gender Expression, and the Socio-Legal Regulation of School Boards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0E1B06"/>
    <w:multiLevelType w:val="hybridMultilevel"/>
    <w:tmpl w:val="6F4A0522"/>
    <w:lvl w:ilvl="0" w:tplc="F6F84B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F7372"/>
    <w:multiLevelType w:val="hybridMultilevel"/>
    <w:tmpl w:val="394C6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6A"/>
    <w:rsid w:val="000019BE"/>
    <w:rsid w:val="00001AAA"/>
    <w:rsid w:val="000039E6"/>
    <w:rsid w:val="0001098B"/>
    <w:rsid w:val="000151F6"/>
    <w:rsid w:val="00025280"/>
    <w:rsid w:val="000257B5"/>
    <w:rsid w:val="00025C5B"/>
    <w:rsid w:val="00027A3E"/>
    <w:rsid w:val="00031B1B"/>
    <w:rsid w:val="00033097"/>
    <w:rsid w:val="00036597"/>
    <w:rsid w:val="00037B79"/>
    <w:rsid w:val="00041C44"/>
    <w:rsid w:val="00047229"/>
    <w:rsid w:val="0004792D"/>
    <w:rsid w:val="000507AE"/>
    <w:rsid w:val="00050803"/>
    <w:rsid w:val="00054A51"/>
    <w:rsid w:val="000554CD"/>
    <w:rsid w:val="000555DF"/>
    <w:rsid w:val="00057AEE"/>
    <w:rsid w:val="000638BD"/>
    <w:rsid w:val="000641DD"/>
    <w:rsid w:val="0006498A"/>
    <w:rsid w:val="00067628"/>
    <w:rsid w:val="000758BA"/>
    <w:rsid w:val="000832E3"/>
    <w:rsid w:val="00083A37"/>
    <w:rsid w:val="00084A2F"/>
    <w:rsid w:val="0009328A"/>
    <w:rsid w:val="000933F7"/>
    <w:rsid w:val="0009472A"/>
    <w:rsid w:val="000964D8"/>
    <w:rsid w:val="000A0785"/>
    <w:rsid w:val="000A0A09"/>
    <w:rsid w:val="000A21DB"/>
    <w:rsid w:val="000A2627"/>
    <w:rsid w:val="000A28AC"/>
    <w:rsid w:val="000A2F0B"/>
    <w:rsid w:val="000B4B0A"/>
    <w:rsid w:val="000B5BA7"/>
    <w:rsid w:val="000C1389"/>
    <w:rsid w:val="000C1567"/>
    <w:rsid w:val="000C1A01"/>
    <w:rsid w:val="000C1A34"/>
    <w:rsid w:val="000C27EB"/>
    <w:rsid w:val="000C28B8"/>
    <w:rsid w:val="000C2A69"/>
    <w:rsid w:val="000C4E90"/>
    <w:rsid w:val="000D04D8"/>
    <w:rsid w:val="000D0708"/>
    <w:rsid w:val="000D2E5F"/>
    <w:rsid w:val="000D72A4"/>
    <w:rsid w:val="000E0581"/>
    <w:rsid w:val="000E159B"/>
    <w:rsid w:val="000E46D4"/>
    <w:rsid w:val="000F3BEB"/>
    <w:rsid w:val="000F3CC1"/>
    <w:rsid w:val="000F5A5E"/>
    <w:rsid w:val="000F74B7"/>
    <w:rsid w:val="00103D85"/>
    <w:rsid w:val="001051BD"/>
    <w:rsid w:val="00115EE7"/>
    <w:rsid w:val="00116C2D"/>
    <w:rsid w:val="001263F6"/>
    <w:rsid w:val="00131463"/>
    <w:rsid w:val="001320A6"/>
    <w:rsid w:val="001343E5"/>
    <w:rsid w:val="00134FC8"/>
    <w:rsid w:val="001422B5"/>
    <w:rsid w:val="00142625"/>
    <w:rsid w:val="00144B51"/>
    <w:rsid w:val="00147A1B"/>
    <w:rsid w:val="00151960"/>
    <w:rsid w:val="00156572"/>
    <w:rsid w:val="00156EB8"/>
    <w:rsid w:val="001607ED"/>
    <w:rsid w:val="00162B72"/>
    <w:rsid w:val="00164833"/>
    <w:rsid w:val="001650A9"/>
    <w:rsid w:val="001721C4"/>
    <w:rsid w:val="00174166"/>
    <w:rsid w:val="00174726"/>
    <w:rsid w:val="00180BD9"/>
    <w:rsid w:val="0018166C"/>
    <w:rsid w:val="00183C36"/>
    <w:rsid w:val="00186243"/>
    <w:rsid w:val="001904C3"/>
    <w:rsid w:val="0019105C"/>
    <w:rsid w:val="00191AC5"/>
    <w:rsid w:val="0019350F"/>
    <w:rsid w:val="00193742"/>
    <w:rsid w:val="00194E81"/>
    <w:rsid w:val="001953E1"/>
    <w:rsid w:val="001A2DCA"/>
    <w:rsid w:val="001A5D11"/>
    <w:rsid w:val="001A6958"/>
    <w:rsid w:val="001B04BE"/>
    <w:rsid w:val="001C262F"/>
    <w:rsid w:val="001C5141"/>
    <w:rsid w:val="001D0484"/>
    <w:rsid w:val="001D0A69"/>
    <w:rsid w:val="001D31E3"/>
    <w:rsid w:val="001D5A75"/>
    <w:rsid w:val="001D6101"/>
    <w:rsid w:val="001D7F50"/>
    <w:rsid w:val="001E0635"/>
    <w:rsid w:val="001E57C7"/>
    <w:rsid w:val="001E7E14"/>
    <w:rsid w:val="001F25D1"/>
    <w:rsid w:val="001F5B8D"/>
    <w:rsid w:val="001F5EFC"/>
    <w:rsid w:val="001F68BF"/>
    <w:rsid w:val="00203940"/>
    <w:rsid w:val="00203F55"/>
    <w:rsid w:val="0020535A"/>
    <w:rsid w:val="00212A57"/>
    <w:rsid w:val="00216D3B"/>
    <w:rsid w:val="00223664"/>
    <w:rsid w:val="00224DAF"/>
    <w:rsid w:val="0023432D"/>
    <w:rsid w:val="00240CFF"/>
    <w:rsid w:val="002430A8"/>
    <w:rsid w:val="00244792"/>
    <w:rsid w:val="00250170"/>
    <w:rsid w:val="0025037B"/>
    <w:rsid w:val="00250B11"/>
    <w:rsid w:val="00252BF9"/>
    <w:rsid w:val="00252DD8"/>
    <w:rsid w:val="002533E4"/>
    <w:rsid w:val="00254E8B"/>
    <w:rsid w:val="00255D48"/>
    <w:rsid w:val="00263DDF"/>
    <w:rsid w:val="00264244"/>
    <w:rsid w:val="00264E0A"/>
    <w:rsid w:val="00276D9D"/>
    <w:rsid w:val="0028352D"/>
    <w:rsid w:val="00285732"/>
    <w:rsid w:val="0029120F"/>
    <w:rsid w:val="00294273"/>
    <w:rsid w:val="0029543E"/>
    <w:rsid w:val="002954CE"/>
    <w:rsid w:val="00295F24"/>
    <w:rsid w:val="002A1BD4"/>
    <w:rsid w:val="002A6795"/>
    <w:rsid w:val="002B1D7B"/>
    <w:rsid w:val="002B4246"/>
    <w:rsid w:val="002B6532"/>
    <w:rsid w:val="002B761F"/>
    <w:rsid w:val="002C2D05"/>
    <w:rsid w:val="002D07EF"/>
    <w:rsid w:val="002D18DE"/>
    <w:rsid w:val="002D275E"/>
    <w:rsid w:val="002D2D83"/>
    <w:rsid w:val="002D5344"/>
    <w:rsid w:val="002E4B4E"/>
    <w:rsid w:val="002F09D7"/>
    <w:rsid w:val="003036BC"/>
    <w:rsid w:val="0030522E"/>
    <w:rsid w:val="00306D5B"/>
    <w:rsid w:val="0031227A"/>
    <w:rsid w:val="00312797"/>
    <w:rsid w:val="00317080"/>
    <w:rsid w:val="00320D46"/>
    <w:rsid w:val="00322CF7"/>
    <w:rsid w:val="003268BC"/>
    <w:rsid w:val="00332839"/>
    <w:rsid w:val="00333198"/>
    <w:rsid w:val="003360A2"/>
    <w:rsid w:val="003375A4"/>
    <w:rsid w:val="00340235"/>
    <w:rsid w:val="0034519D"/>
    <w:rsid w:val="0035266C"/>
    <w:rsid w:val="0036046B"/>
    <w:rsid w:val="00365D1C"/>
    <w:rsid w:val="00377126"/>
    <w:rsid w:val="003813D1"/>
    <w:rsid w:val="00383534"/>
    <w:rsid w:val="003873C9"/>
    <w:rsid w:val="00387657"/>
    <w:rsid w:val="00390CA5"/>
    <w:rsid w:val="00394E8F"/>
    <w:rsid w:val="00397C70"/>
    <w:rsid w:val="003A3B5C"/>
    <w:rsid w:val="003A4F3C"/>
    <w:rsid w:val="003A528E"/>
    <w:rsid w:val="003B0F3A"/>
    <w:rsid w:val="003B20CF"/>
    <w:rsid w:val="003B6034"/>
    <w:rsid w:val="003B7A7B"/>
    <w:rsid w:val="003C31B8"/>
    <w:rsid w:val="003C58DF"/>
    <w:rsid w:val="003C606B"/>
    <w:rsid w:val="003D1758"/>
    <w:rsid w:val="003D3F50"/>
    <w:rsid w:val="003D40CE"/>
    <w:rsid w:val="003E12D3"/>
    <w:rsid w:val="003E3510"/>
    <w:rsid w:val="003E35D9"/>
    <w:rsid w:val="003E5542"/>
    <w:rsid w:val="003F16A6"/>
    <w:rsid w:val="003F5BC8"/>
    <w:rsid w:val="00403018"/>
    <w:rsid w:val="00403416"/>
    <w:rsid w:val="00407022"/>
    <w:rsid w:val="00412631"/>
    <w:rsid w:val="00415F3B"/>
    <w:rsid w:val="00426E8F"/>
    <w:rsid w:val="004308E4"/>
    <w:rsid w:val="004333F9"/>
    <w:rsid w:val="004373E4"/>
    <w:rsid w:val="00440EE3"/>
    <w:rsid w:val="00441226"/>
    <w:rsid w:val="00442069"/>
    <w:rsid w:val="00442190"/>
    <w:rsid w:val="00442E8B"/>
    <w:rsid w:val="00443A59"/>
    <w:rsid w:val="00443C9E"/>
    <w:rsid w:val="00454669"/>
    <w:rsid w:val="00454EC8"/>
    <w:rsid w:val="00457D41"/>
    <w:rsid w:val="00460383"/>
    <w:rsid w:val="00461619"/>
    <w:rsid w:val="00467853"/>
    <w:rsid w:val="00470F85"/>
    <w:rsid w:val="004711F0"/>
    <w:rsid w:val="004714D9"/>
    <w:rsid w:val="00472D3A"/>
    <w:rsid w:val="004772D2"/>
    <w:rsid w:val="00481111"/>
    <w:rsid w:val="004824AD"/>
    <w:rsid w:val="00484EAF"/>
    <w:rsid w:val="0048612C"/>
    <w:rsid w:val="00487F58"/>
    <w:rsid w:val="00491D5A"/>
    <w:rsid w:val="004931E3"/>
    <w:rsid w:val="00493EFB"/>
    <w:rsid w:val="00494DD0"/>
    <w:rsid w:val="00495630"/>
    <w:rsid w:val="00495CAE"/>
    <w:rsid w:val="00496422"/>
    <w:rsid w:val="0049774D"/>
    <w:rsid w:val="004A07A0"/>
    <w:rsid w:val="004A0982"/>
    <w:rsid w:val="004A146D"/>
    <w:rsid w:val="004A30FF"/>
    <w:rsid w:val="004B3187"/>
    <w:rsid w:val="004B3EB1"/>
    <w:rsid w:val="004B77A9"/>
    <w:rsid w:val="004C7B0B"/>
    <w:rsid w:val="004D070A"/>
    <w:rsid w:val="004D0F4E"/>
    <w:rsid w:val="004D59FA"/>
    <w:rsid w:val="004E1AF2"/>
    <w:rsid w:val="004E4C2D"/>
    <w:rsid w:val="004E4DDC"/>
    <w:rsid w:val="004F0F68"/>
    <w:rsid w:val="004F373C"/>
    <w:rsid w:val="004F4DB4"/>
    <w:rsid w:val="004F592F"/>
    <w:rsid w:val="00501428"/>
    <w:rsid w:val="005017DE"/>
    <w:rsid w:val="0050421B"/>
    <w:rsid w:val="005047BE"/>
    <w:rsid w:val="00511952"/>
    <w:rsid w:val="00514914"/>
    <w:rsid w:val="0052157A"/>
    <w:rsid w:val="0052483D"/>
    <w:rsid w:val="00524A9F"/>
    <w:rsid w:val="00530966"/>
    <w:rsid w:val="00531075"/>
    <w:rsid w:val="00531C0C"/>
    <w:rsid w:val="00533227"/>
    <w:rsid w:val="00535177"/>
    <w:rsid w:val="00535E8A"/>
    <w:rsid w:val="0053665B"/>
    <w:rsid w:val="00546DEC"/>
    <w:rsid w:val="0055732D"/>
    <w:rsid w:val="005629AD"/>
    <w:rsid w:val="00564FF8"/>
    <w:rsid w:val="005652FA"/>
    <w:rsid w:val="005707CD"/>
    <w:rsid w:val="00577FAB"/>
    <w:rsid w:val="0058137A"/>
    <w:rsid w:val="00583ECC"/>
    <w:rsid w:val="0059000F"/>
    <w:rsid w:val="005904F0"/>
    <w:rsid w:val="00591170"/>
    <w:rsid w:val="00592622"/>
    <w:rsid w:val="00597738"/>
    <w:rsid w:val="005A2F51"/>
    <w:rsid w:val="005A3771"/>
    <w:rsid w:val="005A6859"/>
    <w:rsid w:val="005A68A7"/>
    <w:rsid w:val="005A7319"/>
    <w:rsid w:val="005A75BC"/>
    <w:rsid w:val="005C7FC8"/>
    <w:rsid w:val="005D3E97"/>
    <w:rsid w:val="005E027F"/>
    <w:rsid w:val="005E0AA9"/>
    <w:rsid w:val="005E3CDB"/>
    <w:rsid w:val="005E42D9"/>
    <w:rsid w:val="005F34EA"/>
    <w:rsid w:val="005F4A4A"/>
    <w:rsid w:val="005F5945"/>
    <w:rsid w:val="005F6406"/>
    <w:rsid w:val="005F71F2"/>
    <w:rsid w:val="005F7A17"/>
    <w:rsid w:val="005F7F39"/>
    <w:rsid w:val="006020CA"/>
    <w:rsid w:val="00605936"/>
    <w:rsid w:val="00617320"/>
    <w:rsid w:val="006200C0"/>
    <w:rsid w:val="006203F7"/>
    <w:rsid w:val="0062150A"/>
    <w:rsid w:val="00622629"/>
    <w:rsid w:val="00625C60"/>
    <w:rsid w:val="0062738A"/>
    <w:rsid w:val="00632F81"/>
    <w:rsid w:val="00633154"/>
    <w:rsid w:val="006343ED"/>
    <w:rsid w:val="0063450B"/>
    <w:rsid w:val="00634827"/>
    <w:rsid w:val="00637C07"/>
    <w:rsid w:val="00640034"/>
    <w:rsid w:val="00642090"/>
    <w:rsid w:val="00643003"/>
    <w:rsid w:val="00643635"/>
    <w:rsid w:val="0065027C"/>
    <w:rsid w:val="006519C7"/>
    <w:rsid w:val="00652F66"/>
    <w:rsid w:val="006534AD"/>
    <w:rsid w:val="00653C67"/>
    <w:rsid w:val="006566C4"/>
    <w:rsid w:val="006567CA"/>
    <w:rsid w:val="0066123A"/>
    <w:rsid w:val="006643DF"/>
    <w:rsid w:val="00664BC1"/>
    <w:rsid w:val="006755FC"/>
    <w:rsid w:val="006825D0"/>
    <w:rsid w:val="00687B46"/>
    <w:rsid w:val="006900A9"/>
    <w:rsid w:val="00694325"/>
    <w:rsid w:val="00695346"/>
    <w:rsid w:val="006A301D"/>
    <w:rsid w:val="006A7A49"/>
    <w:rsid w:val="006A7BBD"/>
    <w:rsid w:val="006B225E"/>
    <w:rsid w:val="006B2DF8"/>
    <w:rsid w:val="006C1B23"/>
    <w:rsid w:val="006C62E6"/>
    <w:rsid w:val="006C64A4"/>
    <w:rsid w:val="006D348D"/>
    <w:rsid w:val="006D45E0"/>
    <w:rsid w:val="006D66BE"/>
    <w:rsid w:val="006E1131"/>
    <w:rsid w:val="006F2BC9"/>
    <w:rsid w:val="006F4A08"/>
    <w:rsid w:val="006F5FE8"/>
    <w:rsid w:val="00701259"/>
    <w:rsid w:val="007015B8"/>
    <w:rsid w:val="007039E6"/>
    <w:rsid w:val="007045C1"/>
    <w:rsid w:val="00704621"/>
    <w:rsid w:val="00704624"/>
    <w:rsid w:val="00706C16"/>
    <w:rsid w:val="007201A6"/>
    <w:rsid w:val="007223CF"/>
    <w:rsid w:val="0072556A"/>
    <w:rsid w:val="0072717F"/>
    <w:rsid w:val="00736473"/>
    <w:rsid w:val="00736892"/>
    <w:rsid w:val="00736A3F"/>
    <w:rsid w:val="007413CF"/>
    <w:rsid w:val="00742D49"/>
    <w:rsid w:val="00744436"/>
    <w:rsid w:val="007459A5"/>
    <w:rsid w:val="00747CF0"/>
    <w:rsid w:val="007524FB"/>
    <w:rsid w:val="00754941"/>
    <w:rsid w:val="00755A37"/>
    <w:rsid w:val="00755A8E"/>
    <w:rsid w:val="00760335"/>
    <w:rsid w:val="00762C1B"/>
    <w:rsid w:val="00764FBE"/>
    <w:rsid w:val="007714F3"/>
    <w:rsid w:val="00771B86"/>
    <w:rsid w:val="00772B6B"/>
    <w:rsid w:val="0077315C"/>
    <w:rsid w:val="007756A3"/>
    <w:rsid w:val="0078214F"/>
    <w:rsid w:val="007860D3"/>
    <w:rsid w:val="0079015F"/>
    <w:rsid w:val="00791818"/>
    <w:rsid w:val="00793362"/>
    <w:rsid w:val="007942F1"/>
    <w:rsid w:val="0079664D"/>
    <w:rsid w:val="00797F67"/>
    <w:rsid w:val="007A104D"/>
    <w:rsid w:val="007A3D26"/>
    <w:rsid w:val="007A48CB"/>
    <w:rsid w:val="007A5CA9"/>
    <w:rsid w:val="007B14AF"/>
    <w:rsid w:val="007B2FEB"/>
    <w:rsid w:val="007B3102"/>
    <w:rsid w:val="007C2938"/>
    <w:rsid w:val="007C3722"/>
    <w:rsid w:val="007C42C7"/>
    <w:rsid w:val="007C4645"/>
    <w:rsid w:val="007D0102"/>
    <w:rsid w:val="007D3CAE"/>
    <w:rsid w:val="007D4ED8"/>
    <w:rsid w:val="007D7CB9"/>
    <w:rsid w:val="007E1343"/>
    <w:rsid w:val="007E26E6"/>
    <w:rsid w:val="007E4885"/>
    <w:rsid w:val="007E5528"/>
    <w:rsid w:val="007E5927"/>
    <w:rsid w:val="007E72E4"/>
    <w:rsid w:val="007F1738"/>
    <w:rsid w:val="007F61CD"/>
    <w:rsid w:val="007F6D6C"/>
    <w:rsid w:val="007F6F2F"/>
    <w:rsid w:val="0080007A"/>
    <w:rsid w:val="008017FE"/>
    <w:rsid w:val="008023DE"/>
    <w:rsid w:val="00804265"/>
    <w:rsid w:val="00805A6B"/>
    <w:rsid w:val="0081023D"/>
    <w:rsid w:val="0081315A"/>
    <w:rsid w:val="00827372"/>
    <w:rsid w:val="00827669"/>
    <w:rsid w:val="00831AEC"/>
    <w:rsid w:val="00845EF8"/>
    <w:rsid w:val="00847F85"/>
    <w:rsid w:val="00855AEA"/>
    <w:rsid w:val="00855EDD"/>
    <w:rsid w:val="0085726C"/>
    <w:rsid w:val="008576BC"/>
    <w:rsid w:val="00857F3B"/>
    <w:rsid w:val="00863096"/>
    <w:rsid w:val="008652CE"/>
    <w:rsid w:val="008664D7"/>
    <w:rsid w:val="0086677D"/>
    <w:rsid w:val="008676A2"/>
    <w:rsid w:val="00867D68"/>
    <w:rsid w:val="00871304"/>
    <w:rsid w:val="00872421"/>
    <w:rsid w:val="00875D6B"/>
    <w:rsid w:val="00881CFC"/>
    <w:rsid w:val="00882BA4"/>
    <w:rsid w:val="00887CC9"/>
    <w:rsid w:val="00893A47"/>
    <w:rsid w:val="008A2300"/>
    <w:rsid w:val="008A2680"/>
    <w:rsid w:val="008A321D"/>
    <w:rsid w:val="008A342B"/>
    <w:rsid w:val="008A3AA8"/>
    <w:rsid w:val="008A43EA"/>
    <w:rsid w:val="008A5D81"/>
    <w:rsid w:val="008A7AB1"/>
    <w:rsid w:val="008A7D60"/>
    <w:rsid w:val="008B0CFB"/>
    <w:rsid w:val="008B166F"/>
    <w:rsid w:val="008B4952"/>
    <w:rsid w:val="008C0035"/>
    <w:rsid w:val="008C2192"/>
    <w:rsid w:val="008C2529"/>
    <w:rsid w:val="008C542B"/>
    <w:rsid w:val="008D481F"/>
    <w:rsid w:val="008D7104"/>
    <w:rsid w:val="008E04FE"/>
    <w:rsid w:val="008E2344"/>
    <w:rsid w:val="008E3890"/>
    <w:rsid w:val="008E7A70"/>
    <w:rsid w:val="008F0C29"/>
    <w:rsid w:val="008F1DF4"/>
    <w:rsid w:val="008F3E47"/>
    <w:rsid w:val="008F4347"/>
    <w:rsid w:val="008F775A"/>
    <w:rsid w:val="00902D4C"/>
    <w:rsid w:val="00904EDB"/>
    <w:rsid w:val="00906178"/>
    <w:rsid w:val="00906E3E"/>
    <w:rsid w:val="00907DA0"/>
    <w:rsid w:val="00910665"/>
    <w:rsid w:val="00912EC7"/>
    <w:rsid w:val="009155E1"/>
    <w:rsid w:val="00916C8F"/>
    <w:rsid w:val="009179BA"/>
    <w:rsid w:val="00921469"/>
    <w:rsid w:val="00921CB1"/>
    <w:rsid w:val="009233CA"/>
    <w:rsid w:val="0092550C"/>
    <w:rsid w:val="00936DA7"/>
    <w:rsid w:val="0093773B"/>
    <w:rsid w:val="00942EBA"/>
    <w:rsid w:val="009432AF"/>
    <w:rsid w:val="00945482"/>
    <w:rsid w:val="00946C38"/>
    <w:rsid w:val="00951BBC"/>
    <w:rsid w:val="0095547A"/>
    <w:rsid w:val="00980A15"/>
    <w:rsid w:val="00981FE2"/>
    <w:rsid w:val="00982FFA"/>
    <w:rsid w:val="009845F1"/>
    <w:rsid w:val="00987C57"/>
    <w:rsid w:val="009900B0"/>
    <w:rsid w:val="0099173F"/>
    <w:rsid w:val="00994731"/>
    <w:rsid w:val="009A0634"/>
    <w:rsid w:val="009A41E5"/>
    <w:rsid w:val="009A640D"/>
    <w:rsid w:val="009A7BDF"/>
    <w:rsid w:val="009B0185"/>
    <w:rsid w:val="009B0A45"/>
    <w:rsid w:val="009B35D7"/>
    <w:rsid w:val="009B60B2"/>
    <w:rsid w:val="009C03D1"/>
    <w:rsid w:val="009C0430"/>
    <w:rsid w:val="009C176A"/>
    <w:rsid w:val="009C3F79"/>
    <w:rsid w:val="009C783E"/>
    <w:rsid w:val="009D0CE5"/>
    <w:rsid w:val="009D4F06"/>
    <w:rsid w:val="009D73A3"/>
    <w:rsid w:val="009E1C49"/>
    <w:rsid w:val="009E3731"/>
    <w:rsid w:val="009E623D"/>
    <w:rsid w:val="009E6E6B"/>
    <w:rsid w:val="009F0BFA"/>
    <w:rsid w:val="009F1328"/>
    <w:rsid w:val="009F3E35"/>
    <w:rsid w:val="009F403F"/>
    <w:rsid w:val="009F4B86"/>
    <w:rsid w:val="009F4C60"/>
    <w:rsid w:val="009F79A2"/>
    <w:rsid w:val="00A039EC"/>
    <w:rsid w:val="00A04251"/>
    <w:rsid w:val="00A04DF4"/>
    <w:rsid w:val="00A04F90"/>
    <w:rsid w:val="00A06918"/>
    <w:rsid w:val="00A10DDB"/>
    <w:rsid w:val="00A13875"/>
    <w:rsid w:val="00A149E0"/>
    <w:rsid w:val="00A22B12"/>
    <w:rsid w:val="00A233D1"/>
    <w:rsid w:val="00A27C3A"/>
    <w:rsid w:val="00A32341"/>
    <w:rsid w:val="00A32603"/>
    <w:rsid w:val="00A33EC1"/>
    <w:rsid w:val="00A34FA7"/>
    <w:rsid w:val="00A37FF5"/>
    <w:rsid w:val="00A400F7"/>
    <w:rsid w:val="00A4103E"/>
    <w:rsid w:val="00A4652F"/>
    <w:rsid w:val="00A51DF3"/>
    <w:rsid w:val="00A53E6C"/>
    <w:rsid w:val="00A554CA"/>
    <w:rsid w:val="00A56896"/>
    <w:rsid w:val="00A56A58"/>
    <w:rsid w:val="00A579D0"/>
    <w:rsid w:val="00A60357"/>
    <w:rsid w:val="00A61DB6"/>
    <w:rsid w:val="00A63A3C"/>
    <w:rsid w:val="00A6402E"/>
    <w:rsid w:val="00A65429"/>
    <w:rsid w:val="00A65EA8"/>
    <w:rsid w:val="00A665E0"/>
    <w:rsid w:val="00A71730"/>
    <w:rsid w:val="00A730E9"/>
    <w:rsid w:val="00A743AE"/>
    <w:rsid w:val="00A803F9"/>
    <w:rsid w:val="00A81309"/>
    <w:rsid w:val="00A829C4"/>
    <w:rsid w:val="00A86F55"/>
    <w:rsid w:val="00A91882"/>
    <w:rsid w:val="00A91EF8"/>
    <w:rsid w:val="00A930BA"/>
    <w:rsid w:val="00AA23CD"/>
    <w:rsid w:val="00AA2D11"/>
    <w:rsid w:val="00AA6582"/>
    <w:rsid w:val="00AB4991"/>
    <w:rsid w:val="00AB5AB9"/>
    <w:rsid w:val="00AB6DEA"/>
    <w:rsid w:val="00AB70C6"/>
    <w:rsid w:val="00AC3AAD"/>
    <w:rsid w:val="00AC734E"/>
    <w:rsid w:val="00AD20A4"/>
    <w:rsid w:val="00AD352B"/>
    <w:rsid w:val="00AD5EAD"/>
    <w:rsid w:val="00AD6342"/>
    <w:rsid w:val="00AE401A"/>
    <w:rsid w:val="00AE44CF"/>
    <w:rsid w:val="00AE492F"/>
    <w:rsid w:val="00AE4B68"/>
    <w:rsid w:val="00AE52E0"/>
    <w:rsid w:val="00AE5ECD"/>
    <w:rsid w:val="00AE79DA"/>
    <w:rsid w:val="00AF58BC"/>
    <w:rsid w:val="00AF5E28"/>
    <w:rsid w:val="00AF6215"/>
    <w:rsid w:val="00AF6A8B"/>
    <w:rsid w:val="00B06B77"/>
    <w:rsid w:val="00B077AD"/>
    <w:rsid w:val="00B11B53"/>
    <w:rsid w:val="00B11FD5"/>
    <w:rsid w:val="00B12061"/>
    <w:rsid w:val="00B14C5A"/>
    <w:rsid w:val="00B173AC"/>
    <w:rsid w:val="00B23632"/>
    <w:rsid w:val="00B236DA"/>
    <w:rsid w:val="00B26C62"/>
    <w:rsid w:val="00B30E03"/>
    <w:rsid w:val="00B3516B"/>
    <w:rsid w:val="00B367AF"/>
    <w:rsid w:val="00B37E16"/>
    <w:rsid w:val="00B43624"/>
    <w:rsid w:val="00B50A4B"/>
    <w:rsid w:val="00B53D18"/>
    <w:rsid w:val="00B54158"/>
    <w:rsid w:val="00B572A7"/>
    <w:rsid w:val="00B57CEE"/>
    <w:rsid w:val="00B626C9"/>
    <w:rsid w:val="00B63CE3"/>
    <w:rsid w:val="00B64551"/>
    <w:rsid w:val="00B65ACB"/>
    <w:rsid w:val="00B67F18"/>
    <w:rsid w:val="00B705DC"/>
    <w:rsid w:val="00B83800"/>
    <w:rsid w:val="00B83919"/>
    <w:rsid w:val="00B911FD"/>
    <w:rsid w:val="00B94DEB"/>
    <w:rsid w:val="00BA107B"/>
    <w:rsid w:val="00BA3226"/>
    <w:rsid w:val="00BA4735"/>
    <w:rsid w:val="00BA4CA1"/>
    <w:rsid w:val="00BA6739"/>
    <w:rsid w:val="00BA6E6B"/>
    <w:rsid w:val="00BA7DB5"/>
    <w:rsid w:val="00BB1BDB"/>
    <w:rsid w:val="00BB73C7"/>
    <w:rsid w:val="00BC1BE9"/>
    <w:rsid w:val="00BC5BC7"/>
    <w:rsid w:val="00BD165A"/>
    <w:rsid w:val="00BD4379"/>
    <w:rsid w:val="00BD6E08"/>
    <w:rsid w:val="00BE21E8"/>
    <w:rsid w:val="00BE4417"/>
    <w:rsid w:val="00BE61E5"/>
    <w:rsid w:val="00BF02CB"/>
    <w:rsid w:val="00BF1FC5"/>
    <w:rsid w:val="00BF43BB"/>
    <w:rsid w:val="00BF6961"/>
    <w:rsid w:val="00BF7D82"/>
    <w:rsid w:val="00C005DC"/>
    <w:rsid w:val="00C00E3B"/>
    <w:rsid w:val="00C01684"/>
    <w:rsid w:val="00C0358E"/>
    <w:rsid w:val="00C038DE"/>
    <w:rsid w:val="00C04A20"/>
    <w:rsid w:val="00C04F96"/>
    <w:rsid w:val="00C05E78"/>
    <w:rsid w:val="00C15BC0"/>
    <w:rsid w:val="00C16D55"/>
    <w:rsid w:val="00C17C9F"/>
    <w:rsid w:val="00C2440C"/>
    <w:rsid w:val="00C2477F"/>
    <w:rsid w:val="00C25329"/>
    <w:rsid w:val="00C320DF"/>
    <w:rsid w:val="00C353AB"/>
    <w:rsid w:val="00C37F73"/>
    <w:rsid w:val="00C42BE3"/>
    <w:rsid w:val="00C43C80"/>
    <w:rsid w:val="00C440AC"/>
    <w:rsid w:val="00C460C5"/>
    <w:rsid w:val="00C46EB4"/>
    <w:rsid w:val="00C47529"/>
    <w:rsid w:val="00C507E4"/>
    <w:rsid w:val="00C5247D"/>
    <w:rsid w:val="00C55CF9"/>
    <w:rsid w:val="00C5740E"/>
    <w:rsid w:val="00C57883"/>
    <w:rsid w:val="00C60F14"/>
    <w:rsid w:val="00C6590B"/>
    <w:rsid w:val="00C700C4"/>
    <w:rsid w:val="00C745AA"/>
    <w:rsid w:val="00C76633"/>
    <w:rsid w:val="00C775C7"/>
    <w:rsid w:val="00C801CD"/>
    <w:rsid w:val="00C84D39"/>
    <w:rsid w:val="00C90DE9"/>
    <w:rsid w:val="00C94C7E"/>
    <w:rsid w:val="00C97A9C"/>
    <w:rsid w:val="00C97D22"/>
    <w:rsid w:val="00C97EA9"/>
    <w:rsid w:val="00CA0D4F"/>
    <w:rsid w:val="00CA1280"/>
    <w:rsid w:val="00CA6D9B"/>
    <w:rsid w:val="00CA7D2E"/>
    <w:rsid w:val="00CB133A"/>
    <w:rsid w:val="00CB1792"/>
    <w:rsid w:val="00CB26C2"/>
    <w:rsid w:val="00CB34EC"/>
    <w:rsid w:val="00CB42A4"/>
    <w:rsid w:val="00CB5AEB"/>
    <w:rsid w:val="00CB7080"/>
    <w:rsid w:val="00CB732D"/>
    <w:rsid w:val="00CC0CE8"/>
    <w:rsid w:val="00CC5584"/>
    <w:rsid w:val="00CC572A"/>
    <w:rsid w:val="00CC5771"/>
    <w:rsid w:val="00CD42DE"/>
    <w:rsid w:val="00CD6C02"/>
    <w:rsid w:val="00CD74EB"/>
    <w:rsid w:val="00CE0450"/>
    <w:rsid w:val="00CE4436"/>
    <w:rsid w:val="00CE5F2F"/>
    <w:rsid w:val="00CF11EB"/>
    <w:rsid w:val="00CF1AB3"/>
    <w:rsid w:val="00CF1FDA"/>
    <w:rsid w:val="00CF2154"/>
    <w:rsid w:val="00CF23FB"/>
    <w:rsid w:val="00CF3F2D"/>
    <w:rsid w:val="00CF5DD9"/>
    <w:rsid w:val="00CF6FE5"/>
    <w:rsid w:val="00CF73BA"/>
    <w:rsid w:val="00CF7968"/>
    <w:rsid w:val="00D018F8"/>
    <w:rsid w:val="00D02485"/>
    <w:rsid w:val="00D04D5E"/>
    <w:rsid w:val="00D1043C"/>
    <w:rsid w:val="00D10993"/>
    <w:rsid w:val="00D12129"/>
    <w:rsid w:val="00D1264E"/>
    <w:rsid w:val="00D2376A"/>
    <w:rsid w:val="00D23A90"/>
    <w:rsid w:val="00D33882"/>
    <w:rsid w:val="00D3543C"/>
    <w:rsid w:val="00D42793"/>
    <w:rsid w:val="00D42DDA"/>
    <w:rsid w:val="00D4356B"/>
    <w:rsid w:val="00D577C6"/>
    <w:rsid w:val="00D578D6"/>
    <w:rsid w:val="00D62638"/>
    <w:rsid w:val="00D63906"/>
    <w:rsid w:val="00D655E3"/>
    <w:rsid w:val="00D65839"/>
    <w:rsid w:val="00D719D1"/>
    <w:rsid w:val="00D74B5D"/>
    <w:rsid w:val="00D7756F"/>
    <w:rsid w:val="00D84D65"/>
    <w:rsid w:val="00D87ADE"/>
    <w:rsid w:val="00D87B3E"/>
    <w:rsid w:val="00D90E1C"/>
    <w:rsid w:val="00D96231"/>
    <w:rsid w:val="00D97184"/>
    <w:rsid w:val="00D97E6B"/>
    <w:rsid w:val="00D97F11"/>
    <w:rsid w:val="00DA6080"/>
    <w:rsid w:val="00DA6E62"/>
    <w:rsid w:val="00DB4C63"/>
    <w:rsid w:val="00DB4E60"/>
    <w:rsid w:val="00DB507D"/>
    <w:rsid w:val="00DC0EDC"/>
    <w:rsid w:val="00DC5FD3"/>
    <w:rsid w:val="00DD047F"/>
    <w:rsid w:val="00DD210E"/>
    <w:rsid w:val="00DD756C"/>
    <w:rsid w:val="00DD772F"/>
    <w:rsid w:val="00DE3125"/>
    <w:rsid w:val="00DE7781"/>
    <w:rsid w:val="00DF045C"/>
    <w:rsid w:val="00E01899"/>
    <w:rsid w:val="00E05DF2"/>
    <w:rsid w:val="00E11FD8"/>
    <w:rsid w:val="00E124F1"/>
    <w:rsid w:val="00E16FF1"/>
    <w:rsid w:val="00E267F8"/>
    <w:rsid w:val="00E35DCC"/>
    <w:rsid w:val="00E36D09"/>
    <w:rsid w:val="00E379EA"/>
    <w:rsid w:val="00E43B33"/>
    <w:rsid w:val="00E4538B"/>
    <w:rsid w:val="00E46E70"/>
    <w:rsid w:val="00E53166"/>
    <w:rsid w:val="00E56088"/>
    <w:rsid w:val="00E56BC4"/>
    <w:rsid w:val="00E602D2"/>
    <w:rsid w:val="00E60754"/>
    <w:rsid w:val="00E63196"/>
    <w:rsid w:val="00E63AFA"/>
    <w:rsid w:val="00E72381"/>
    <w:rsid w:val="00E7496C"/>
    <w:rsid w:val="00E74B9B"/>
    <w:rsid w:val="00E7591B"/>
    <w:rsid w:val="00E81B73"/>
    <w:rsid w:val="00E83584"/>
    <w:rsid w:val="00E868AA"/>
    <w:rsid w:val="00E87317"/>
    <w:rsid w:val="00E90683"/>
    <w:rsid w:val="00E959D2"/>
    <w:rsid w:val="00EA3287"/>
    <w:rsid w:val="00EA36A3"/>
    <w:rsid w:val="00EA47A8"/>
    <w:rsid w:val="00EB0BB1"/>
    <w:rsid w:val="00EB1F30"/>
    <w:rsid w:val="00EB5167"/>
    <w:rsid w:val="00EC040C"/>
    <w:rsid w:val="00EC0AE7"/>
    <w:rsid w:val="00EC25A2"/>
    <w:rsid w:val="00ED00F4"/>
    <w:rsid w:val="00ED46F9"/>
    <w:rsid w:val="00ED6D7A"/>
    <w:rsid w:val="00EE4451"/>
    <w:rsid w:val="00EE5126"/>
    <w:rsid w:val="00EE535A"/>
    <w:rsid w:val="00EF548A"/>
    <w:rsid w:val="00F039AE"/>
    <w:rsid w:val="00F13347"/>
    <w:rsid w:val="00F16B48"/>
    <w:rsid w:val="00F170BC"/>
    <w:rsid w:val="00F1723B"/>
    <w:rsid w:val="00F257A3"/>
    <w:rsid w:val="00F31768"/>
    <w:rsid w:val="00F34044"/>
    <w:rsid w:val="00F34BA4"/>
    <w:rsid w:val="00F3781B"/>
    <w:rsid w:val="00F37874"/>
    <w:rsid w:val="00F37D4D"/>
    <w:rsid w:val="00F40060"/>
    <w:rsid w:val="00F43E78"/>
    <w:rsid w:val="00F45C86"/>
    <w:rsid w:val="00F45D8D"/>
    <w:rsid w:val="00F4695C"/>
    <w:rsid w:val="00F507F1"/>
    <w:rsid w:val="00F50DD2"/>
    <w:rsid w:val="00F52332"/>
    <w:rsid w:val="00F54F22"/>
    <w:rsid w:val="00F55817"/>
    <w:rsid w:val="00F55E5D"/>
    <w:rsid w:val="00F618D7"/>
    <w:rsid w:val="00F6727F"/>
    <w:rsid w:val="00F71769"/>
    <w:rsid w:val="00F717E2"/>
    <w:rsid w:val="00F7422A"/>
    <w:rsid w:val="00F74A08"/>
    <w:rsid w:val="00F75E0A"/>
    <w:rsid w:val="00F77130"/>
    <w:rsid w:val="00F8095E"/>
    <w:rsid w:val="00F8289B"/>
    <w:rsid w:val="00F859F8"/>
    <w:rsid w:val="00F900E1"/>
    <w:rsid w:val="00FA0057"/>
    <w:rsid w:val="00FA065F"/>
    <w:rsid w:val="00FA0A97"/>
    <w:rsid w:val="00FA116D"/>
    <w:rsid w:val="00FA7804"/>
    <w:rsid w:val="00FB15C7"/>
    <w:rsid w:val="00FB3C84"/>
    <w:rsid w:val="00FB42BE"/>
    <w:rsid w:val="00FB73C7"/>
    <w:rsid w:val="00FC3FA9"/>
    <w:rsid w:val="00FC6EB2"/>
    <w:rsid w:val="00FD19B3"/>
    <w:rsid w:val="00FD2B9F"/>
    <w:rsid w:val="00FD7532"/>
    <w:rsid w:val="00FE0912"/>
    <w:rsid w:val="00FE4378"/>
    <w:rsid w:val="00FE5010"/>
    <w:rsid w:val="00FE76F6"/>
    <w:rsid w:val="00FF187E"/>
    <w:rsid w:val="00FF37D2"/>
    <w:rsid w:val="00FF6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9C418"/>
  <w14:defaultImageDpi w14:val="300"/>
  <w15:docId w15:val="{B92A9F30-A3F3-6341-BA8F-10B42015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914"/>
    <w:rPr>
      <w:color w:val="0000FF" w:themeColor="hyperlink"/>
      <w:u w:val="single"/>
    </w:rPr>
  </w:style>
  <w:style w:type="paragraph" w:styleId="Footer">
    <w:name w:val="footer"/>
    <w:basedOn w:val="Normal"/>
    <w:link w:val="FooterChar"/>
    <w:uiPriority w:val="99"/>
    <w:unhideWhenUsed/>
    <w:rsid w:val="009432AF"/>
    <w:pPr>
      <w:tabs>
        <w:tab w:val="center" w:pos="4320"/>
        <w:tab w:val="right" w:pos="8640"/>
      </w:tabs>
    </w:pPr>
  </w:style>
  <w:style w:type="character" w:customStyle="1" w:styleId="FooterChar">
    <w:name w:val="Footer Char"/>
    <w:basedOn w:val="DefaultParagraphFont"/>
    <w:link w:val="Footer"/>
    <w:uiPriority w:val="99"/>
    <w:rsid w:val="009432AF"/>
  </w:style>
  <w:style w:type="character" w:styleId="PageNumber">
    <w:name w:val="page number"/>
    <w:basedOn w:val="DefaultParagraphFont"/>
    <w:uiPriority w:val="99"/>
    <w:semiHidden/>
    <w:unhideWhenUsed/>
    <w:rsid w:val="009432AF"/>
  </w:style>
  <w:style w:type="paragraph" w:styleId="Header">
    <w:name w:val="header"/>
    <w:basedOn w:val="Normal"/>
    <w:link w:val="HeaderChar"/>
    <w:uiPriority w:val="99"/>
    <w:unhideWhenUsed/>
    <w:rsid w:val="009432AF"/>
    <w:pPr>
      <w:tabs>
        <w:tab w:val="center" w:pos="4320"/>
        <w:tab w:val="right" w:pos="8640"/>
      </w:tabs>
    </w:pPr>
  </w:style>
  <w:style w:type="character" w:customStyle="1" w:styleId="HeaderChar">
    <w:name w:val="Header Char"/>
    <w:basedOn w:val="DefaultParagraphFont"/>
    <w:link w:val="Header"/>
    <w:uiPriority w:val="99"/>
    <w:rsid w:val="009432AF"/>
  </w:style>
  <w:style w:type="paragraph" w:styleId="FootnoteText">
    <w:name w:val="footnote text"/>
    <w:basedOn w:val="Normal"/>
    <w:link w:val="FootnoteTextChar"/>
    <w:uiPriority w:val="99"/>
    <w:unhideWhenUsed/>
    <w:rsid w:val="00C16D55"/>
  </w:style>
  <w:style w:type="character" w:customStyle="1" w:styleId="FootnoteTextChar">
    <w:name w:val="Footnote Text Char"/>
    <w:basedOn w:val="DefaultParagraphFont"/>
    <w:link w:val="FootnoteText"/>
    <w:uiPriority w:val="99"/>
    <w:rsid w:val="00C16D55"/>
  </w:style>
  <w:style w:type="character" w:styleId="FootnoteReference">
    <w:name w:val="footnote reference"/>
    <w:basedOn w:val="DefaultParagraphFont"/>
    <w:uiPriority w:val="99"/>
    <w:unhideWhenUsed/>
    <w:rsid w:val="00C16D55"/>
    <w:rPr>
      <w:vertAlign w:val="superscript"/>
    </w:rPr>
  </w:style>
  <w:style w:type="paragraph" w:styleId="ListParagraph">
    <w:name w:val="List Paragraph"/>
    <w:basedOn w:val="Normal"/>
    <w:uiPriority w:val="34"/>
    <w:qFormat/>
    <w:rsid w:val="0099173F"/>
    <w:pPr>
      <w:ind w:left="720"/>
      <w:contextualSpacing/>
    </w:pPr>
    <w:rPr>
      <w:rFonts w:eastAsiaTheme="minorHAnsi"/>
    </w:rPr>
  </w:style>
  <w:style w:type="character" w:styleId="CommentReference">
    <w:name w:val="annotation reference"/>
    <w:basedOn w:val="DefaultParagraphFont"/>
    <w:uiPriority w:val="99"/>
    <w:semiHidden/>
    <w:unhideWhenUsed/>
    <w:rsid w:val="00481111"/>
    <w:rPr>
      <w:sz w:val="16"/>
      <w:szCs w:val="16"/>
    </w:rPr>
  </w:style>
  <w:style w:type="paragraph" w:styleId="CommentText">
    <w:name w:val="annotation text"/>
    <w:basedOn w:val="Normal"/>
    <w:link w:val="CommentTextChar"/>
    <w:uiPriority w:val="99"/>
    <w:unhideWhenUsed/>
    <w:rsid w:val="00481111"/>
    <w:rPr>
      <w:sz w:val="20"/>
      <w:szCs w:val="20"/>
    </w:rPr>
  </w:style>
  <w:style w:type="character" w:customStyle="1" w:styleId="CommentTextChar">
    <w:name w:val="Comment Text Char"/>
    <w:basedOn w:val="DefaultParagraphFont"/>
    <w:link w:val="CommentText"/>
    <w:uiPriority w:val="99"/>
    <w:rsid w:val="00481111"/>
    <w:rPr>
      <w:sz w:val="20"/>
      <w:szCs w:val="20"/>
    </w:rPr>
  </w:style>
  <w:style w:type="paragraph" w:styleId="CommentSubject">
    <w:name w:val="annotation subject"/>
    <w:basedOn w:val="CommentText"/>
    <w:next w:val="CommentText"/>
    <w:link w:val="CommentSubjectChar"/>
    <w:uiPriority w:val="99"/>
    <w:semiHidden/>
    <w:unhideWhenUsed/>
    <w:rsid w:val="00481111"/>
    <w:rPr>
      <w:b/>
      <w:bCs/>
    </w:rPr>
  </w:style>
  <w:style w:type="character" w:customStyle="1" w:styleId="CommentSubjectChar">
    <w:name w:val="Comment Subject Char"/>
    <w:basedOn w:val="CommentTextChar"/>
    <w:link w:val="CommentSubject"/>
    <w:uiPriority w:val="99"/>
    <w:semiHidden/>
    <w:rsid w:val="00481111"/>
    <w:rPr>
      <w:b/>
      <w:bCs/>
      <w:sz w:val="20"/>
      <w:szCs w:val="20"/>
    </w:rPr>
  </w:style>
  <w:style w:type="paragraph" w:styleId="BalloonText">
    <w:name w:val="Balloon Text"/>
    <w:basedOn w:val="Normal"/>
    <w:link w:val="BalloonTextChar"/>
    <w:uiPriority w:val="99"/>
    <w:semiHidden/>
    <w:unhideWhenUsed/>
    <w:rsid w:val="004811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111"/>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A743AE"/>
    <w:rPr>
      <w:color w:val="605E5C"/>
      <w:shd w:val="clear" w:color="auto" w:fill="E1DFDD"/>
    </w:rPr>
  </w:style>
  <w:style w:type="paragraph" w:styleId="NormalWeb">
    <w:name w:val="Normal (Web)"/>
    <w:basedOn w:val="Normal"/>
    <w:uiPriority w:val="99"/>
    <w:semiHidden/>
    <w:unhideWhenUsed/>
    <w:rsid w:val="001E7E14"/>
    <w:pPr>
      <w:spacing w:before="100" w:beforeAutospacing="1" w:after="100" w:afterAutospacing="1"/>
    </w:pPr>
    <w:rPr>
      <w:rFonts w:ascii="Times New Roman" w:eastAsia="Times New Roman" w:hAnsi="Times New Roman" w:cs="Times New Roman"/>
      <w:lang w:val="en-CA"/>
    </w:rPr>
  </w:style>
  <w:style w:type="character" w:styleId="UnresolvedMention">
    <w:name w:val="Unresolved Mention"/>
    <w:basedOn w:val="DefaultParagraphFont"/>
    <w:uiPriority w:val="99"/>
    <w:semiHidden/>
    <w:unhideWhenUsed/>
    <w:rsid w:val="00B07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6402">
      <w:bodyDiv w:val="1"/>
      <w:marLeft w:val="0"/>
      <w:marRight w:val="0"/>
      <w:marTop w:val="0"/>
      <w:marBottom w:val="0"/>
      <w:divBdr>
        <w:top w:val="none" w:sz="0" w:space="0" w:color="auto"/>
        <w:left w:val="none" w:sz="0" w:space="0" w:color="auto"/>
        <w:bottom w:val="none" w:sz="0" w:space="0" w:color="auto"/>
        <w:right w:val="none" w:sz="0" w:space="0" w:color="auto"/>
      </w:divBdr>
    </w:div>
    <w:div w:id="85807976">
      <w:bodyDiv w:val="1"/>
      <w:marLeft w:val="0"/>
      <w:marRight w:val="0"/>
      <w:marTop w:val="0"/>
      <w:marBottom w:val="0"/>
      <w:divBdr>
        <w:top w:val="none" w:sz="0" w:space="0" w:color="auto"/>
        <w:left w:val="none" w:sz="0" w:space="0" w:color="auto"/>
        <w:bottom w:val="none" w:sz="0" w:space="0" w:color="auto"/>
        <w:right w:val="none" w:sz="0" w:space="0" w:color="auto"/>
      </w:divBdr>
    </w:div>
    <w:div w:id="128326522">
      <w:bodyDiv w:val="1"/>
      <w:marLeft w:val="0"/>
      <w:marRight w:val="0"/>
      <w:marTop w:val="0"/>
      <w:marBottom w:val="0"/>
      <w:divBdr>
        <w:top w:val="none" w:sz="0" w:space="0" w:color="auto"/>
        <w:left w:val="none" w:sz="0" w:space="0" w:color="auto"/>
        <w:bottom w:val="none" w:sz="0" w:space="0" w:color="auto"/>
        <w:right w:val="none" w:sz="0" w:space="0" w:color="auto"/>
      </w:divBdr>
    </w:div>
    <w:div w:id="321396819">
      <w:bodyDiv w:val="1"/>
      <w:marLeft w:val="0"/>
      <w:marRight w:val="0"/>
      <w:marTop w:val="0"/>
      <w:marBottom w:val="0"/>
      <w:divBdr>
        <w:top w:val="none" w:sz="0" w:space="0" w:color="auto"/>
        <w:left w:val="none" w:sz="0" w:space="0" w:color="auto"/>
        <w:bottom w:val="none" w:sz="0" w:space="0" w:color="auto"/>
        <w:right w:val="none" w:sz="0" w:space="0" w:color="auto"/>
      </w:divBdr>
    </w:div>
    <w:div w:id="532353215">
      <w:bodyDiv w:val="1"/>
      <w:marLeft w:val="0"/>
      <w:marRight w:val="0"/>
      <w:marTop w:val="0"/>
      <w:marBottom w:val="0"/>
      <w:divBdr>
        <w:top w:val="none" w:sz="0" w:space="0" w:color="auto"/>
        <w:left w:val="none" w:sz="0" w:space="0" w:color="auto"/>
        <w:bottom w:val="none" w:sz="0" w:space="0" w:color="auto"/>
        <w:right w:val="none" w:sz="0" w:space="0" w:color="auto"/>
      </w:divBdr>
    </w:div>
    <w:div w:id="584149641">
      <w:bodyDiv w:val="1"/>
      <w:marLeft w:val="0"/>
      <w:marRight w:val="0"/>
      <w:marTop w:val="0"/>
      <w:marBottom w:val="0"/>
      <w:divBdr>
        <w:top w:val="none" w:sz="0" w:space="0" w:color="auto"/>
        <w:left w:val="none" w:sz="0" w:space="0" w:color="auto"/>
        <w:bottom w:val="none" w:sz="0" w:space="0" w:color="auto"/>
        <w:right w:val="none" w:sz="0" w:space="0" w:color="auto"/>
      </w:divBdr>
    </w:div>
    <w:div w:id="673921389">
      <w:bodyDiv w:val="1"/>
      <w:marLeft w:val="0"/>
      <w:marRight w:val="0"/>
      <w:marTop w:val="0"/>
      <w:marBottom w:val="0"/>
      <w:divBdr>
        <w:top w:val="none" w:sz="0" w:space="0" w:color="auto"/>
        <w:left w:val="none" w:sz="0" w:space="0" w:color="auto"/>
        <w:bottom w:val="none" w:sz="0" w:space="0" w:color="auto"/>
        <w:right w:val="none" w:sz="0" w:space="0" w:color="auto"/>
      </w:divBdr>
    </w:div>
    <w:div w:id="685710749">
      <w:bodyDiv w:val="1"/>
      <w:marLeft w:val="0"/>
      <w:marRight w:val="0"/>
      <w:marTop w:val="0"/>
      <w:marBottom w:val="0"/>
      <w:divBdr>
        <w:top w:val="none" w:sz="0" w:space="0" w:color="auto"/>
        <w:left w:val="none" w:sz="0" w:space="0" w:color="auto"/>
        <w:bottom w:val="none" w:sz="0" w:space="0" w:color="auto"/>
        <w:right w:val="none" w:sz="0" w:space="0" w:color="auto"/>
      </w:divBdr>
      <w:divsChild>
        <w:div w:id="1093740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383804">
              <w:marLeft w:val="0"/>
              <w:marRight w:val="0"/>
              <w:marTop w:val="0"/>
              <w:marBottom w:val="0"/>
              <w:divBdr>
                <w:top w:val="none" w:sz="0" w:space="0" w:color="auto"/>
                <w:left w:val="none" w:sz="0" w:space="0" w:color="auto"/>
                <w:bottom w:val="none" w:sz="0" w:space="0" w:color="auto"/>
                <w:right w:val="none" w:sz="0" w:space="0" w:color="auto"/>
              </w:divBdr>
              <w:divsChild>
                <w:div w:id="272711560">
                  <w:marLeft w:val="0"/>
                  <w:marRight w:val="0"/>
                  <w:marTop w:val="0"/>
                  <w:marBottom w:val="0"/>
                  <w:divBdr>
                    <w:top w:val="none" w:sz="0" w:space="0" w:color="auto"/>
                    <w:left w:val="none" w:sz="0" w:space="0" w:color="auto"/>
                    <w:bottom w:val="none" w:sz="0" w:space="0" w:color="auto"/>
                    <w:right w:val="none" w:sz="0" w:space="0" w:color="auto"/>
                  </w:divBdr>
                  <w:divsChild>
                    <w:div w:id="211040811">
                      <w:marLeft w:val="0"/>
                      <w:marRight w:val="0"/>
                      <w:marTop w:val="0"/>
                      <w:marBottom w:val="0"/>
                      <w:divBdr>
                        <w:top w:val="none" w:sz="0" w:space="0" w:color="auto"/>
                        <w:left w:val="none" w:sz="0" w:space="0" w:color="auto"/>
                        <w:bottom w:val="none" w:sz="0" w:space="0" w:color="auto"/>
                        <w:right w:val="none" w:sz="0" w:space="0" w:color="auto"/>
                      </w:divBdr>
                      <w:divsChild>
                        <w:div w:id="1821851312">
                          <w:marLeft w:val="0"/>
                          <w:marRight w:val="0"/>
                          <w:marTop w:val="0"/>
                          <w:marBottom w:val="0"/>
                          <w:divBdr>
                            <w:top w:val="none" w:sz="0" w:space="0" w:color="auto"/>
                            <w:left w:val="none" w:sz="0" w:space="0" w:color="auto"/>
                            <w:bottom w:val="none" w:sz="0" w:space="0" w:color="auto"/>
                            <w:right w:val="none" w:sz="0" w:space="0" w:color="auto"/>
                          </w:divBdr>
                          <w:divsChild>
                            <w:div w:id="1050229310">
                              <w:marLeft w:val="0"/>
                              <w:marRight w:val="0"/>
                              <w:marTop w:val="0"/>
                              <w:marBottom w:val="0"/>
                              <w:divBdr>
                                <w:top w:val="none" w:sz="0" w:space="0" w:color="auto"/>
                                <w:left w:val="none" w:sz="0" w:space="0" w:color="auto"/>
                                <w:bottom w:val="none" w:sz="0" w:space="0" w:color="auto"/>
                                <w:right w:val="none" w:sz="0" w:space="0" w:color="auto"/>
                              </w:divBdr>
                              <w:divsChild>
                                <w:div w:id="733048064">
                                  <w:marLeft w:val="0"/>
                                  <w:marRight w:val="0"/>
                                  <w:marTop w:val="0"/>
                                  <w:marBottom w:val="0"/>
                                  <w:divBdr>
                                    <w:top w:val="none" w:sz="0" w:space="0" w:color="auto"/>
                                    <w:left w:val="none" w:sz="0" w:space="0" w:color="auto"/>
                                    <w:bottom w:val="none" w:sz="0" w:space="0" w:color="auto"/>
                                    <w:right w:val="none" w:sz="0" w:space="0" w:color="auto"/>
                                  </w:divBdr>
                                  <w:divsChild>
                                    <w:div w:id="20910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781843">
      <w:bodyDiv w:val="1"/>
      <w:marLeft w:val="0"/>
      <w:marRight w:val="0"/>
      <w:marTop w:val="0"/>
      <w:marBottom w:val="0"/>
      <w:divBdr>
        <w:top w:val="none" w:sz="0" w:space="0" w:color="auto"/>
        <w:left w:val="none" w:sz="0" w:space="0" w:color="auto"/>
        <w:bottom w:val="none" w:sz="0" w:space="0" w:color="auto"/>
        <w:right w:val="none" w:sz="0" w:space="0" w:color="auto"/>
      </w:divBdr>
    </w:div>
    <w:div w:id="870916339">
      <w:bodyDiv w:val="1"/>
      <w:marLeft w:val="0"/>
      <w:marRight w:val="0"/>
      <w:marTop w:val="0"/>
      <w:marBottom w:val="0"/>
      <w:divBdr>
        <w:top w:val="none" w:sz="0" w:space="0" w:color="auto"/>
        <w:left w:val="none" w:sz="0" w:space="0" w:color="auto"/>
        <w:bottom w:val="none" w:sz="0" w:space="0" w:color="auto"/>
        <w:right w:val="none" w:sz="0" w:space="0" w:color="auto"/>
      </w:divBdr>
    </w:div>
    <w:div w:id="901675122">
      <w:bodyDiv w:val="1"/>
      <w:marLeft w:val="0"/>
      <w:marRight w:val="0"/>
      <w:marTop w:val="0"/>
      <w:marBottom w:val="0"/>
      <w:divBdr>
        <w:top w:val="none" w:sz="0" w:space="0" w:color="auto"/>
        <w:left w:val="none" w:sz="0" w:space="0" w:color="auto"/>
        <w:bottom w:val="none" w:sz="0" w:space="0" w:color="auto"/>
        <w:right w:val="none" w:sz="0" w:space="0" w:color="auto"/>
      </w:divBdr>
    </w:div>
    <w:div w:id="996567178">
      <w:bodyDiv w:val="1"/>
      <w:marLeft w:val="0"/>
      <w:marRight w:val="0"/>
      <w:marTop w:val="0"/>
      <w:marBottom w:val="0"/>
      <w:divBdr>
        <w:top w:val="none" w:sz="0" w:space="0" w:color="auto"/>
        <w:left w:val="none" w:sz="0" w:space="0" w:color="auto"/>
        <w:bottom w:val="none" w:sz="0" w:space="0" w:color="auto"/>
        <w:right w:val="none" w:sz="0" w:space="0" w:color="auto"/>
      </w:divBdr>
    </w:div>
    <w:div w:id="1046833686">
      <w:bodyDiv w:val="1"/>
      <w:marLeft w:val="0"/>
      <w:marRight w:val="0"/>
      <w:marTop w:val="0"/>
      <w:marBottom w:val="0"/>
      <w:divBdr>
        <w:top w:val="none" w:sz="0" w:space="0" w:color="auto"/>
        <w:left w:val="none" w:sz="0" w:space="0" w:color="auto"/>
        <w:bottom w:val="none" w:sz="0" w:space="0" w:color="auto"/>
        <w:right w:val="none" w:sz="0" w:space="0" w:color="auto"/>
      </w:divBdr>
    </w:div>
    <w:div w:id="1104378808">
      <w:bodyDiv w:val="1"/>
      <w:marLeft w:val="0"/>
      <w:marRight w:val="0"/>
      <w:marTop w:val="0"/>
      <w:marBottom w:val="0"/>
      <w:divBdr>
        <w:top w:val="none" w:sz="0" w:space="0" w:color="auto"/>
        <w:left w:val="none" w:sz="0" w:space="0" w:color="auto"/>
        <w:bottom w:val="none" w:sz="0" w:space="0" w:color="auto"/>
        <w:right w:val="none" w:sz="0" w:space="0" w:color="auto"/>
      </w:divBdr>
    </w:div>
    <w:div w:id="1135372495">
      <w:bodyDiv w:val="1"/>
      <w:marLeft w:val="0"/>
      <w:marRight w:val="0"/>
      <w:marTop w:val="0"/>
      <w:marBottom w:val="0"/>
      <w:divBdr>
        <w:top w:val="none" w:sz="0" w:space="0" w:color="auto"/>
        <w:left w:val="none" w:sz="0" w:space="0" w:color="auto"/>
        <w:bottom w:val="none" w:sz="0" w:space="0" w:color="auto"/>
        <w:right w:val="none" w:sz="0" w:space="0" w:color="auto"/>
      </w:divBdr>
    </w:div>
    <w:div w:id="1281955692">
      <w:bodyDiv w:val="1"/>
      <w:marLeft w:val="0"/>
      <w:marRight w:val="0"/>
      <w:marTop w:val="0"/>
      <w:marBottom w:val="0"/>
      <w:divBdr>
        <w:top w:val="none" w:sz="0" w:space="0" w:color="auto"/>
        <w:left w:val="none" w:sz="0" w:space="0" w:color="auto"/>
        <w:bottom w:val="none" w:sz="0" w:space="0" w:color="auto"/>
        <w:right w:val="none" w:sz="0" w:space="0" w:color="auto"/>
      </w:divBdr>
    </w:div>
    <w:div w:id="1284655796">
      <w:bodyDiv w:val="1"/>
      <w:marLeft w:val="0"/>
      <w:marRight w:val="0"/>
      <w:marTop w:val="0"/>
      <w:marBottom w:val="0"/>
      <w:divBdr>
        <w:top w:val="none" w:sz="0" w:space="0" w:color="auto"/>
        <w:left w:val="none" w:sz="0" w:space="0" w:color="auto"/>
        <w:bottom w:val="none" w:sz="0" w:space="0" w:color="auto"/>
        <w:right w:val="none" w:sz="0" w:space="0" w:color="auto"/>
      </w:divBdr>
    </w:div>
    <w:div w:id="1285187655">
      <w:bodyDiv w:val="1"/>
      <w:marLeft w:val="0"/>
      <w:marRight w:val="0"/>
      <w:marTop w:val="0"/>
      <w:marBottom w:val="0"/>
      <w:divBdr>
        <w:top w:val="none" w:sz="0" w:space="0" w:color="auto"/>
        <w:left w:val="none" w:sz="0" w:space="0" w:color="auto"/>
        <w:bottom w:val="none" w:sz="0" w:space="0" w:color="auto"/>
        <w:right w:val="none" w:sz="0" w:space="0" w:color="auto"/>
      </w:divBdr>
    </w:div>
    <w:div w:id="1285766853">
      <w:bodyDiv w:val="1"/>
      <w:marLeft w:val="0"/>
      <w:marRight w:val="0"/>
      <w:marTop w:val="0"/>
      <w:marBottom w:val="0"/>
      <w:divBdr>
        <w:top w:val="none" w:sz="0" w:space="0" w:color="auto"/>
        <w:left w:val="none" w:sz="0" w:space="0" w:color="auto"/>
        <w:bottom w:val="none" w:sz="0" w:space="0" w:color="auto"/>
        <w:right w:val="none" w:sz="0" w:space="0" w:color="auto"/>
      </w:divBdr>
    </w:div>
    <w:div w:id="1313677805">
      <w:bodyDiv w:val="1"/>
      <w:marLeft w:val="0"/>
      <w:marRight w:val="0"/>
      <w:marTop w:val="0"/>
      <w:marBottom w:val="0"/>
      <w:divBdr>
        <w:top w:val="none" w:sz="0" w:space="0" w:color="auto"/>
        <w:left w:val="none" w:sz="0" w:space="0" w:color="auto"/>
        <w:bottom w:val="none" w:sz="0" w:space="0" w:color="auto"/>
        <w:right w:val="none" w:sz="0" w:space="0" w:color="auto"/>
      </w:divBdr>
    </w:div>
    <w:div w:id="1343900274">
      <w:bodyDiv w:val="1"/>
      <w:marLeft w:val="0"/>
      <w:marRight w:val="0"/>
      <w:marTop w:val="0"/>
      <w:marBottom w:val="0"/>
      <w:divBdr>
        <w:top w:val="none" w:sz="0" w:space="0" w:color="auto"/>
        <w:left w:val="none" w:sz="0" w:space="0" w:color="auto"/>
        <w:bottom w:val="none" w:sz="0" w:space="0" w:color="auto"/>
        <w:right w:val="none" w:sz="0" w:space="0" w:color="auto"/>
      </w:divBdr>
    </w:div>
    <w:div w:id="1353145181">
      <w:bodyDiv w:val="1"/>
      <w:marLeft w:val="0"/>
      <w:marRight w:val="0"/>
      <w:marTop w:val="0"/>
      <w:marBottom w:val="0"/>
      <w:divBdr>
        <w:top w:val="none" w:sz="0" w:space="0" w:color="auto"/>
        <w:left w:val="none" w:sz="0" w:space="0" w:color="auto"/>
        <w:bottom w:val="none" w:sz="0" w:space="0" w:color="auto"/>
        <w:right w:val="none" w:sz="0" w:space="0" w:color="auto"/>
      </w:divBdr>
    </w:div>
    <w:div w:id="1375886260">
      <w:bodyDiv w:val="1"/>
      <w:marLeft w:val="0"/>
      <w:marRight w:val="0"/>
      <w:marTop w:val="0"/>
      <w:marBottom w:val="0"/>
      <w:divBdr>
        <w:top w:val="none" w:sz="0" w:space="0" w:color="auto"/>
        <w:left w:val="none" w:sz="0" w:space="0" w:color="auto"/>
        <w:bottom w:val="none" w:sz="0" w:space="0" w:color="auto"/>
        <w:right w:val="none" w:sz="0" w:space="0" w:color="auto"/>
      </w:divBdr>
    </w:div>
    <w:div w:id="1446344329">
      <w:bodyDiv w:val="1"/>
      <w:marLeft w:val="0"/>
      <w:marRight w:val="0"/>
      <w:marTop w:val="0"/>
      <w:marBottom w:val="0"/>
      <w:divBdr>
        <w:top w:val="none" w:sz="0" w:space="0" w:color="auto"/>
        <w:left w:val="none" w:sz="0" w:space="0" w:color="auto"/>
        <w:bottom w:val="none" w:sz="0" w:space="0" w:color="auto"/>
        <w:right w:val="none" w:sz="0" w:space="0" w:color="auto"/>
      </w:divBdr>
    </w:div>
    <w:div w:id="1532453236">
      <w:bodyDiv w:val="1"/>
      <w:marLeft w:val="0"/>
      <w:marRight w:val="0"/>
      <w:marTop w:val="0"/>
      <w:marBottom w:val="0"/>
      <w:divBdr>
        <w:top w:val="none" w:sz="0" w:space="0" w:color="auto"/>
        <w:left w:val="none" w:sz="0" w:space="0" w:color="auto"/>
        <w:bottom w:val="none" w:sz="0" w:space="0" w:color="auto"/>
        <w:right w:val="none" w:sz="0" w:space="0" w:color="auto"/>
      </w:divBdr>
    </w:div>
    <w:div w:id="1746561192">
      <w:bodyDiv w:val="1"/>
      <w:marLeft w:val="0"/>
      <w:marRight w:val="0"/>
      <w:marTop w:val="0"/>
      <w:marBottom w:val="0"/>
      <w:divBdr>
        <w:top w:val="none" w:sz="0" w:space="0" w:color="auto"/>
        <w:left w:val="none" w:sz="0" w:space="0" w:color="auto"/>
        <w:bottom w:val="none" w:sz="0" w:space="0" w:color="auto"/>
        <w:right w:val="none" w:sz="0" w:space="0" w:color="auto"/>
      </w:divBdr>
      <w:divsChild>
        <w:div w:id="2123331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721250">
              <w:marLeft w:val="0"/>
              <w:marRight w:val="0"/>
              <w:marTop w:val="0"/>
              <w:marBottom w:val="0"/>
              <w:divBdr>
                <w:top w:val="none" w:sz="0" w:space="0" w:color="auto"/>
                <w:left w:val="none" w:sz="0" w:space="0" w:color="auto"/>
                <w:bottom w:val="none" w:sz="0" w:space="0" w:color="auto"/>
                <w:right w:val="none" w:sz="0" w:space="0" w:color="auto"/>
              </w:divBdr>
              <w:divsChild>
                <w:div w:id="167255272">
                  <w:marLeft w:val="0"/>
                  <w:marRight w:val="0"/>
                  <w:marTop w:val="0"/>
                  <w:marBottom w:val="0"/>
                  <w:divBdr>
                    <w:top w:val="none" w:sz="0" w:space="0" w:color="auto"/>
                    <w:left w:val="none" w:sz="0" w:space="0" w:color="auto"/>
                    <w:bottom w:val="none" w:sz="0" w:space="0" w:color="auto"/>
                    <w:right w:val="none" w:sz="0" w:space="0" w:color="auto"/>
                  </w:divBdr>
                  <w:divsChild>
                    <w:div w:id="2605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82526">
      <w:bodyDiv w:val="1"/>
      <w:marLeft w:val="0"/>
      <w:marRight w:val="0"/>
      <w:marTop w:val="0"/>
      <w:marBottom w:val="0"/>
      <w:divBdr>
        <w:top w:val="none" w:sz="0" w:space="0" w:color="auto"/>
        <w:left w:val="none" w:sz="0" w:space="0" w:color="auto"/>
        <w:bottom w:val="none" w:sz="0" w:space="0" w:color="auto"/>
        <w:right w:val="none" w:sz="0" w:space="0" w:color="auto"/>
      </w:divBdr>
    </w:div>
    <w:div w:id="1780947784">
      <w:bodyDiv w:val="1"/>
      <w:marLeft w:val="0"/>
      <w:marRight w:val="0"/>
      <w:marTop w:val="0"/>
      <w:marBottom w:val="0"/>
      <w:divBdr>
        <w:top w:val="none" w:sz="0" w:space="0" w:color="auto"/>
        <w:left w:val="none" w:sz="0" w:space="0" w:color="auto"/>
        <w:bottom w:val="none" w:sz="0" w:space="0" w:color="auto"/>
        <w:right w:val="none" w:sz="0" w:space="0" w:color="auto"/>
      </w:divBdr>
    </w:div>
    <w:div w:id="1899196530">
      <w:bodyDiv w:val="1"/>
      <w:marLeft w:val="0"/>
      <w:marRight w:val="0"/>
      <w:marTop w:val="0"/>
      <w:marBottom w:val="0"/>
      <w:divBdr>
        <w:top w:val="none" w:sz="0" w:space="0" w:color="auto"/>
        <w:left w:val="none" w:sz="0" w:space="0" w:color="auto"/>
        <w:bottom w:val="none" w:sz="0" w:space="0" w:color="auto"/>
        <w:right w:val="none" w:sz="0" w:space="0" w:color="auto"/>
      </w:divBdr>
    </w:div>
    <w:div w:id="1918896741">
      <w:bodyDiv w:val="1"/>
      <w:marLeft w:val="0"/>
      <w:marRight w:val="0"/>
      <w:marTop w:val="0"/>
      <w:marBottom w:val="0"/>
      <w:divBdr>
        <w:top w:val="none" w:sz="0" w:space="0" w:color="auto"/>
        <w:left w:val="none" w:sz="0" w:space="0" w:color="auto"/>
        <w:bottom w:val="none" w:sz="0" w:space="0" w:color="auto"/>
        <w:right w:val="none" w:sz="0" w:space="0" w:color="auto"/>
      </w:divBdr>
    </w:div>
    <w:div w:id="2048984717">
      <w:bodyDiv w:val="1"/>
      <w:marLeft w:val="0"/>
      <w:marRight w:val="0"/>
      <w:marTop w:val="0"/>
      <w:marBottom w:val="0"/>
      <w:divBdr>
        <w:top w:val="none" w:sz="0" w:space="0" w:color="auto"/>
        <w:left w:val="none" w:sz="0" w:space="0" w:color="auto"/>
        <w:bottom w:val="none" w:sz="0" w:space="0" w:color="auto"/>
        <w:right w:val="none" w:sz="0" w:space="0" w:color="auto"/>
      </w:divBdr>
    </w:div>
    <w:div w:id="2049529323">
      <w:bodyDiv w:val="1"/>
      <w:marLeft w:val="0"/>
      <w:marRight w:val="0"/>
      <w:marTop w:val="0"/>
      <w:marBottom w:val="0"/>
      <w:divBdr>
        <w:top w:val="none" w:sz="0" w:space="0" w:color="auto"/>
        <w:left w:val="none" w:sz="0" w:space="0" w:color="auto"/>
        <w:bottom w:val="none" w:sz="0" w:space="0" w:color="auto"/>
        <w:right w:val="none" w:sz="0" w:space="0" w:color="auto"/>
      </w:divBdr>
      <w:divsChild>
        <w:div w:id="393552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1220">
              <w:marLeft w:val="0"/>
              <w:marRight w:val="0"/>
              <w:marTop w:val="0"/>
              <w:marBottom w:val="0"/>
              <w:divBdr>
                <w:top w:val="none" w:sz="0" w:space="0" w:color="auto"/>
                <w:left w:val="none" w:sz="0" w:space="0" w:color="auto"/>
                <w:bottom w:val="none" w:sz="0" w:space="0" w:color="auto"/>
                <w:right w:val="none" w:sz="0" w:space="0" w:color="auto"/>
              </w:divBdr>
              <w:divsChild>
                <w:div w:id="1007513943">
                  <w:marLeft w:val="0"/>
                  <w:marRight w:val="0"/>
                  <w:marTop w:val="0"/>
                  <w:marBottom w:val="0"/>
                  <w:divBdr>
                    <w:top w:val="none" w:sz="0" w:space="0" w:color="auto"/>
                    <w:left w:val="none" w:sz="0" w:space="0" w:color="auto"/>
                    <w:bottom w:val="none" w:sz="0" w:space="0" w:color="auto"/>
                    <w:right w:val="none" w:sz="0" w:space="0" w:color="auto"/>
                  </w:divBdr>
                  <w:divsChild>
                    <w:div w:id="7701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15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e.Kirkup@uottawa.ca"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ob.desrochers@queensu.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cmillan@queensu.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e.airton@queensu.c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686F1-60CD-E443-92AA-FB3C2C58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8994</Words>
  <Characters>49830</Characters>
  <Application>Microsoft Office Word</Application>
  <DocSecurity>0</DocSecurity>
  <Lines>1916</Lines>
  <Paragraphs>700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Kirkup</dc:creator>
  <cp:keywords/>
  <dc:description/>
  <cp:lastModifiedBy>Lee Airton</cp:lastModifiedBy>
  <cp:revision>2</cp:revision>
  <dcterms:created xsi:type="dcterms:W3CDTF">2021-03-19T15:54:00Z</dcterms:created>
  <dcterms:modified xsi:type="dcterms:W3CDTF">2021-03-19T15:54:00Z</dcterms:modified>
</cp:coreProperties>
</file>