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B4389" w14:textId="77777777" w:rsidR="0053297A" w:rsidRPr="00F731BA" w:rsidRDefault="0053297A" w:rsidP="000E03BE">
      <w:pPr>
        <w:pStyle w:val="Articletitle"/>
        <w:rPr>
          <w:color w:val="000000" w:themeColor="text1"/>
          <w:sz w:val="24"/>
        </w:rPr>
      </w:pPr>
    </w:p>
    <w:p w14:paraId="4D100878" w14:textId="1F822B04" w:rsidR="000E03BE" w:rsidRPr="00F731BA" w:rsidRDefault="000E03BE" w:rsidP="00462BD5">
      <w:pPr>
        <w:pStyle w:val="Articletitle"/>
        <w:spacing w:line="240" w:lineRule="auto"/>
        <w:rPr>
          <w:color w:val="000000" w:themeColor="text1"/>
          <w:sz w:val="24"/>
        </w:rPr>
      </w:pPr>
      <w:r w:rsidRPr="00F731BA">
        <w:rPr>
          <w:color w:val="000000" w:themeColor="text1"/>
          <w:sz w:val="24"/>
        </w:rPr>
        <w:t xml:space="preserve">Welcoming gender diversity in the early years: </w:t>
      </w:r>
      <w:r w:rsidR="004B072E" w:rsidRPr="00F731BA">
        <w:rPr>
          <w:color w:val="000000" w:themeColor="text1"/>
          <w:sz w:val="24"/>
        </w:rPr>
        <w:t>Interpreting professional</w:t>
      </w:r>
      <w:r w:rsidRPr="00F731BA">
        <w:rPr>
          <w:color w:val="000000" w:themeColor="text1"/>
          <w:sz w:val="24"/>
        </w:rPr>
        <w:t xml:space="preserve"> guiding documents for gender-expansive practice</w:t>
      </w:r>
    </w:p>
    <w:p w14:paraId="364D3A1C" w14:textId="2CAD1483" w:rsidR="004C3BA6" w:rsidRPr="00F731BA" w:rsidRDefault="00096D83" w:rsidP="00462BD5">
      <w:pPr>
        <w:widowControl w:val="0"/>
        <w:spacing w:line="240" w:lineRule="auto"/>
        <w:rPr>
          <w:color w:val="000000" w:themeColor="text1"/>
        </w:rPr>
      </w:pPr>
      <w:r w:rsidRPr="00F731BA">
        <w:rPr>
          <w:b/>
          <w:bCs/>
          <w:color w:val="000000" w:themeColor="text1"/>
        </w:rPr>
        <w:t>ABSTRACT:</w:t>
      </w:r>
      <w:r w:rsidRPr="00F731BA">
        <w:rPr>
          <w:color w:val="000000" w:themeColor="text1"/>
        </w:rPr>
        <w:t xml:space="preserve"> </w:t>
      </w:r>
      <w:r w:rsidR="000E03BE" w:rsidRPr="00F731BA">
        <w:rPr>
          <w:color w:val="000000" w:themeColor="text1"/>
        </w:rPr>
        <w:t xml:space="preserve">This </w:t>
      </w:r>
      <w:r w:rsidR="00BF1C11" w:rsidRPr="00F731BA">
        <w:rPr>
          <w:color w:val="000000" w:themeColor="text1"/>
        </w:rPr>
        <w:t xml:space="preserve">research </w:t>
      </w:r>
      <w:r w:rsidR="000E03BE" w:rsidRPr="00F731BA">
        <w:rPr>
          <w:color w:val="000000" w:themeColor="text1"/>
        </w:rPr>
        <w:t xml:space="preserve">takes up the challenge of interpreting the two newest grounds of human rights protection across Canada - gender identity and gender expression - for professional practice in early </w:t>
      </w:r>
      <w:r w:rsidR="004C3BA6" w:rsidRPr="00F731BA">
        <w:rPr>
          <w:color w:val="000000" w:themeColor="text1"/>
        </w:rPr>
        <w:t xml:space="preserve">childhood </w:t>
      </w:r>
      <w:r w:rsidR="000E03BE" w:rsidRPr="00F731BA">
        <w:rPr>
          <w:color w:val="000000" w:themeColor="text1"/>
        </w:rPr>
        <w:t xml:space="preserve">education. To date, no human rights tribunal ruling on these grounds </w:t>
      </w:r>
      <w:r w:rsidR="002F0624" w:rsidRPr="00F731BA">
        <w:rPr>
          <w:color w:val="000000" w:themeColor="text1"/>
        </w:rPr>
        <w:t xml:space="preserve">has </w:t>
      </w:r>
      <w:r w:rsidR="000E03BE" w:rsidRPr="00F731BA">
        <w:rPr>
          <w:color w:val="000000" w:themeColor="text1"/>
        </w:rPr>
        <w:t>engaged early childhood education, and while the legal duty remains for early childhood educators to provide an environment free of gender identity and gender expression discrimination, the Ontario profession’s governing bodies have provided no explicit guidance as to how. Th</w:t>
      </w:r>
      <w:r w:rsidR="00BF1C11" w:rsidRPr="00F731BA">
        <w:rPr>
          <w:color w:val="000000" w:themeColor="text1"/>
        </w:rPr>
        <w:t>is</w:t>
      </w:r>
      <w:r w:rsidR="000E03BE" w:rsidRPr="00F731BA">
        <w:rPr>
          <w:color w:val="000000" w:themeColor="text1"/>
        </w:rPr>
        <w:t xml:space="preserve"> </w:t>
      </w:r>
      <w:r w:rsidR="00BF1C11" w:rsidRPr="00F731BA">
        <w:rPr>
          <w:color w:val="000000" w:themeColor="text1"/>
        </w:rPr>
        <w:t>research</w:t>
      </w:r>
      <w:r w:rsidR="000E03BE" w:rsidRPr="00F731BA">
        <w:rPr>
          <w:color w:val="000000" w:themeColor="text1"/>
        </w:rPr>
        <w:t xml:space="preserve"> bridges early years educators’ new and likely unfamiliar legal responsibilities in relation to both grounds, and everyday life in early years c</w:t>
      </w:r>
      <w:r w:rsidR="00BF1C11" w:rsidRPr="00F731BA">
        <w:rPr>
          <w:color w:val="000000" w:themeColor="text1"/>
        </w:rPr>
        <w:t>ontexts</w:t>
      </w:r>
      <w:r w:rsidR="000E03BE" w:rsidRPr="00F731BA">
        <w:rPr>
          <w:color w:val="000000" w:themeColor="text1"/>
        </w:rPr>
        <w:t xml:space="preserve">. </w:t>
      </w:r>
      <w:r w:rsidR="00BF1C11" w:rsidRPr="00F731BA">
        <w:rPr>
          <w:color w:val="000000" w:themeColor="text1"/>
        </w:rPr>
        <w:t>Findings</w:t>
      </w:r>
      <w:r w:rsidR="000E03BE" w:rsidRPr="00F731BA">
        <w:rPr>
          <w:color w:val="000000" w:themeColor="text1"/>
        </w:rPr>
        <w:t xml:space="preserve"> demonstrate that ample support exists within the profession’s key guiding documents for </w:t>
      </w:r>
      <w:r w:rsidR="005C6993" w:rsidRPr="00F731BA">
        <w:rPr>
          <w:color w:val="000000" w:themeColor="text1"/>
        </w:rPr>
        <w:t>“</w:t>
      </w:r>
      <w:r w:rsidR="000E03BE" w:rsidRPr="00F731BA">
        <w:rPr>
          <w:color w:val="000000" w:themeColor="text1"/>
        </w:rPr>
        <w:t>gender-expansive</w:t>
      </w:r>
      <w:r w:rsidR="005C6993" w:rsidRPr="00F731BA">
        <w:rPr>
          <w:color w:val="000000" w:themeColor="text1"/>
        </w:rPr>
        <w:t>”</w:t>
      </w:r>
      <w:r w:rsidR="000E03BE" w:rsidRPr="00F731BA">
        <w:rPr>
          <w:color w:val="000000" w:themeColor="text1"/>
        </w:rPr>
        <w:t xml:space="preserve"> practice, or, an approach to teaching children and supporting their development that both </w:t>
      </w:r>
      <w:r w:rsidR="000E03BE" w:rsidRPr="00F731BA">
        <w:rPr>
          <w:i/>
          <w:color w:val="000000" w:themeColor="text1"/>
        </w:rPr>
        <w:t>expects</w:t>
      </w:r>
      <w:r w:rsidR="000E03BE" w:rsidRPr="00F731BA">
        <w:rPr>
          <w:color w:val="000000" w:themeColor="text1"/>
        </w:rPr>
        <w:t xml:space="preserve"> and </w:t>
      </w:r>
      <w:r w:rsidR="000E03BE" w:rsidRPr="00F731BA">
        <w:rPr>
          <w:i/>
          <w:color w:val="000000" w:themeColor="text1"/>
        </w:rPr>
        <w:t xml:space="preserve">sustains </w:t>
      </w:r>
      <w:r w:rsidR="000E03BE" w:rsidRPr="00F731BA">
        <w:rPr>
          <w:color w:val="000000" w:themeColor="text1"/>
        </w:rPr>
        <w:t>gender diversity.</w:t>
      </w:r>
      <w:r w:rsidR="004C3BA6" w:rsidRPr="00F731BA">
        <w:rPr>
          <w:color w:val="000000" w:themeColor="text1"/>
        </w:rPr>
        <w:t xml:space="preserve"> A similar analysis of guiding documents is needed internationally. </w:t>
      </w:r>
    </w:p>
    <w:p w14:paraId="58BD9960" w14:textId="7306DACC" w:rsidR="000E03BE" w:rsidRPr="00F731BA" w:rsidRDefault="00997B0F" w:rsidP="00462BD5">
      <w:pPr>
        <w:pStyle w:val="Keywords"/>
        <w:spacing w:line="240" w:lineRule="auto"/>
        <w:rPr>
          <w:color w:val="000000" w:themeColor="text1"/>
          <w:sz w:val="24"/>
        </w:rPr>
      </w:pPr>
      <w:r w:rsidRPr="00F731BA">
        <w:rPr>
          <w:color w:val="000000" w:themeColor="text1"/>
          <w:sz w:val="24"/>
        </w:rPr>
        <w:t xml:space="preserve">Keywords: </w:t>
      </w:r>
      <w:r w:rsidR="000E03BE" w:rsidRPr="00F731BA">
        <w:rPr>
          <w:color w:val="000000" w:themeColor="text1"/>
          <w:sz w:val="24"/>
        </w:rPr>
        <w:t xml:space="preserve"> early years, early childhood, gender identity, gender expression, gender-expansive</w:t>
      </w:r>
    </w:p>
    <w:p w14:paraId="7E37F5DC" w14:textId="77777777" w:rsidR="009026F8" w:rsidRPr="00F731BA" w:rsidRDefault="009026F8" w:rsidP="009026F8">
      <w:pPr>
        <w:pStyle w:val="NormalWeb"/>
        <w:shd w:val="clear" w:color="auto" w:fill="FCFCFC"/>
        <w:spacing w:before="0" w:beforeAutospacing="0" w:after="360" w:afterAutospacing="0"/>
        <w:rPr>
          <w:color w:val="000000" w:themeColor="text1"/>
          <w:sz w:val="20"/>
          <w:szCs w:val="20"/>
          <w:shd w:val="clear" w:color="auto" w:fill="FCFCFC"/>
        </w:rPr>
      </w:pPr>
    </w:p>
    <w:p w14:paraId="7CB1D11C" w14:textId="1E74B950" w:rsidR="000E03BE" w:rsidRPr="00F731BA" w:rsidRDefault="000E03BE" w:rsidP="000E03BE">
      <w:pPr>
        <w:pStyle w:val="Paragraph"/>
        <w:rPr>
          <w:color w:val="000000" w:themeColor="text1"/>
        </w:rPr>
      </w:pPr>
    </w:p>
    <w:p w14:paraId="4CB02C30" w14:textId="77777777" w:rsidR="00E66188" w:rsidRPr="00F731BA" w:rsidRDefault="005B3FBA" w:rsidP="003565D4">
      <w:pPr>
        <w:pStyle w:val="Tabletitle"/>
        <w:rPr>
          <w:color w:val="000000" w:themeColor="text1"/>
        </w:rPr>
      </w:pPr>
      <w:r w:rsidRPr="00F731BA">
        <w:rPr>
          <w:color w:val="000000" w:themeColor="text1"/>
        </w:rPr>
        <w:br w:type="page"/>
      </w:r>
    </w:p>
    <w:p w14:paraId="1D9C0196" w14:textId="45569BB3" w:rsidR="000E03BE" w:rsidRPr="00F731BA" w:rsidRDefault="000E03BE" w:rsidP="00B627E0">
      <w:pPr>
        <w:widowControl w:val="0"/>
        <w:spacing w:line="240" w:lineRule="auto"/>
        <w:rPr>
          <w:b/>
          <w:color w:val="000000" w:themeColor="text1"/>
        </w:rPr>
      </w:pPr>
      <w:r w:rsidRPr="00F731BA">
        <w:rPr>
          <w:b/>
          <w:color w:val="000000" w:themeColor="text1"/>
        </w:rPr>
        <w:lastRenderedPageBreak/>
        <w:t>Introduction</w:t>
      </w:r>
    </w:p>
    <w:p w14:paraId="04F58A4C" w14:textId="3EEBBD92" w:rsidR="000E03BE" w:rsidRPr="00F731BA" w:rsidRDefault="000E03BE" w:rsidP="00B627E0">
      <w:pPr>
        <w:widowControl w:val="0"/>
        <w:spacing w:line="240" w:lineRule="auto"/>
        <w:ind w:firstLine="720"/>
        <w:rPr>
          <w:color w:val="000000" w:themeColor="text1"/>
        </w:rPr>
      </w:pPr>
      <w:r w:rsidRPr="00F731BA">
        <w:rPr>
          <w:color w:val="000000" w:themeColor="text1"/>
        </w:rPr>
        <w:t xml:space="preserve">This </w:t>
      </w:r>
      <w:r w:rsidR="005005C2" w:rsidRPr="00F731BA">
        <w:rPr>
          <w:color w:val="000000" w:themeColor="text1"/>
        </w:rPr>
        <w:t>research</w:t>
      </w:r>
      <w:r w:rsidRPr="00F731BA">
        <w:rPr>
          <w:color w:val="000000" w:themeColor="text1"/>
        </w:rPr>
        <w:t xml:space="preserve"> takes up the challenge of interpreting the two newest grounds of human rights protection across Canada - gender identity and gender expression - for professional practice in early </w:t>
      </w:r>
      <w:r w:rsidR="003F2996" w:rsidRPr="00F731BA">
        <w:rPr>
          <w:color w:val="000000" w:themeColor="text1"/>
        </w:rPr>
        <w:t>childhood</w:t>
      </w:r>
      <w:r w:rsidRPr="00F731BA">
        <w:rPr>
          <w:color w:val="000000" w:themeColor="text1"/>
        </w:rPr>
        <w:t xml:space="preserve"> education. Across all Canadian provinces and territories, early </w:t>
      </w:r>
      <w:r w:rsidR="0019655D" w:rsidRPr="00F731BA">
        <w:rPr>
          <w:color w:val="000000" w:themeColor="text1"/>
        </w:rPr>
        <w:t xml:space="preserve">childhood </w:t>
      </w:r>
      <w:r w:rsidRPr="00F731BA">
        <w:rPr>
          <w:color w:val="000000" w:themeColor="text1"/>
        </w:rPr>
        <w:t xml:space="preserve">educators are legally required to provide an environment for young children and their families that is free from discrimination on the grounds of both gender identity and gender expression. The process of amending human rights laws to include these two grounds began in the Yukon Territories in 2002, and took place in </w:t>
      </w:r>
      <w:r w:rsidR="002F0624" w:rsidRPr="00F731BA">
        <w:rPr>
          <w:color w:val="000000" w:themeColor="text1"/>
        </w:rPr>
        <w:t xml:space="preserve">the province of </w:t>
      </w:r>
      <w:r w:rsidRPr="00F731BA">
        <w:rPr>
          <w:color w:val="000000" w:themeColor="text1"/>
        </w:rPr>
        <w:t xml:space="preserve">Ontario via the 2012 passage of </w:t>
      </w:r>
      <w:r w:rsidRPr="00F731BA">
        <w:rPr>
          <w:i/>
          <w:color w:val="000000" w:themeColor="text1"/>
        </w:rPr>
        <w:t xml:space="preserve">Toby’s Act </w:t>
      </w:r>
      <w:r w:rsidRPr="00F731BA">
        <w:rPr>
          <w:iCs/>
          <w:color w:val="000000" w:themeColor="text1"/>
        </w:rPr>
        <w:t>(Act to Amend the Ontario Human Rights Code)</w:t>
      </w:r>
      <w:r w:rsidRPr="00F731BA">
        <w:rPr>
          <w:color w:val="000000" w:themeColor="text1"/>
        </w:rPr>
        <w:t xml:space="preserve"> (Kirkup</w:t>
      </w:r>
      <w:r w:rsidR="0019655D" w:rsidRPr="00F731BA">
        <w:rPr>
          <w:color w:val="000000" w:themeColor="text1"/>
        </w:rPr>
        <w:t>,</w:t>
      </w:r>
      <w:r w:rsidRPr="00F731BA">
        <w:rPr>
          <w:color w:val="000000" w:themeColor="text1"/>
        </w:rPr>
        <w:t xml:space="preserve"> 2018). Despite their presence across Canada, these grounds are not well-understood among the general public, nor among actors in public-serving sectors.</w:t>
      </w:r>
    </w:p>
    <w:p w14:paraId="5AC73EEE" w14:textId="443E8AC0" w:rsidR="000E03BE" w:rsidRPr="00F731BA" w:rsidRDefault="000E03BE" w:rsidP="00B627E0">
      <w:pPr>
        <w:widowControl w:val="0"/>
        <w:spacing w:line="240" w:lineRule="auto"/>
        <w:ind w:firstLine="720"/>
        <w:rPr>
          <w:color w:val="000000" w:themeColor="text1"/>
        </w:rPr>
      </w:pPr>
      <w:r w:rsidRPr="00F731BA">
        <w:rPr>
          <w:color w:val="000000" w:themeColor="text1"/>
        </w:rPr>
        <w:t>Provincial and territorial human rights commissions - extra-judicial bodies with an educational and limited oversight mandate - have stepped up to guide institutions by provisionally defining gender identity and gender expression. Commission definitions vary little across provincial and territorial boundaries, such that the OHRC’s (2014) can be taken as exemplary:</w:t>
      </w:r>
      <w:r w:rsidR="00B627E0" w:rsidRPr="00F731BA">
        <w:rPr>
          <w:color w:val="000000" w:themeColor="text1"/>
        </w:rPr>
        <w:br/>
      </w:r>
    </w:p>
    <w:p w14:paraId="28C60894" w14:textId="4672FC1C" w:rsidR="000E03BE" w:rsidRPr="00F731BA" w:rsidRDefault="000E03BE" w:rsidP="00B627E0">
      <w:pPr>
        <w:widowControl w:val="0"/>
        <w:spacing w:line="240" w:lineRule="auto"/>
        <w:ind w:left="708"/>
        <w:rPr>
          <w:color w:val="000000" w:themeColor="text1"/>
        </w:rPr>
      </w:pPr>
      <w:r w:rsidRPr="00F731BA">
        <w:rPr>
          <w:i/>
          <w:color w:val="000000" w:themeColor="text1"/>
        </w:rPr>
        <w:t>Gender identity</w:t>
      </w:r>
      <w:r w:rsidRPr="00F731BA">
        <w:rPr>
          <w:color w:val="000000" w:themeColor="text1"/>
        </w:rPr>
        <w:t xml:space="preserve"> is each person’s internal and individual experience of gender. It is their sense of being a woman, a man, both, neither, or anywhere along the gender spectrum. A person’s gender identity may be the same as or different from their birth-assigned sex (</w:t>
      </w:r>
      <w:r w:rsidR="00E40BA1" w:rsidRPr="00F731BA">
        <w:rPr>
          <w:color w:val="000000" w:themeColor="text1"/>
        </w:rPr>
        <w:t xml:space="preserve">p. </w:t>
      </w:r>
      <w:r w:rsidRPr="00F731BA">
        <w:rPr>
          <w:color w:val="000000" w:themeColor="text1"/>
        </w:rPr>
        <w:t>3)</w:t>
      </w:r>
      <w:r w:rsidR="006E69D0" w:rsidRPr="00F731BA">
        <w:rPr>
          <w:color w:val="000000" w:themeColor="text1"/>
        </w:rPr>
        <w:t>.</w:t>
      </w:r>
      <w:r w:rsidR="00B627E0" w:rsidRPr="00F731BA">
        <w:rPr>
          <w:color w:val="000000" w:themeColor="text1"/>
        </w:rPr>
        <w:br/>
      </w:r>
    </w:p>
    <w:p w14:paraId="5043E09E" w14:textId="2E5DB3A7" w:rsidR="000E03BE" w:rsidRPr="00F731BA" w:rsidRDefault="000E03BE" w:rsidP="00B627E0">
      <w:pPr>
        <w:widowControl w:val="0"/>
        <w:spacing w:line="240" w:lineRule="auto"/>
        <w:ind w:left="708"/>
        <w:rPr>
          <w:color w:val="000000" w:themeColor="text1"/>
        </w:rPr>
      </w:pPr>
      <w:r w:rsidRPr="00F731BA">
        <w:rPr>
          <w:i/>
          <w:color w:val="000000" w:themeColor="text1"/>
        </w:rPr>
        <w:t>Gender expression</w:t>
      </w:r>
      <w:r w:rsidRPr="00F731BA">
        <w:rPr>
          <w:color w:val="000000" w:themeColor="text1"/>
        </w:rPr>
        <w:t xml:space="preserve"> is how a person publicly presents their gender. This can include behaviour and outward appearance such as dress, hair, make-up, body language and voice. A person’s chosen name and pronoun are also common ways of expressing gender (</w:t>
      </w:r>
      <w:r w:rsidR="00E40BA1" w:rsidRPr="00F731BA">
        <w:rPr>
          <w:color w:val="000000" w:themeColor="text1"/>
        </w:rPr>
        <w:t xml:space="preserve">p. </w:t>
      </w:r>
      <w:r w:rsidRPr="00F731BA">
        <w:rPr>
          <w:color w:val="000000" w:themeColor="text1"/>
        </w:rPr>
        <w:t>3).</w:t>
      </w:r>
      <w:r w:rsidR="00B627E0" w:rsidRPr="00F731BA">
        <w:rPr>
          <w:color w:val="000000" w:themeColor="text1"/>
        </w:rPr>
        <w:br/>
      </w:r>
    </w:p>
    <w:p w14:paraId="570CF8D8" w14:textId="544045B1" w:rsidR="000E03BE" w:rsidRPr="00F731BA" w:rsidRDefault="000E03BE" w:rsidP="00B627E0">
      <w:pPr>
        <w:widowControl w:val="0"/>
        <w:spacing w:line="240" w:lineRule="auto"/>
        <w:rPr>
          <w:color w:val="000000" w:themeColor="text1"/>
        </w:rPr>
      </w:pPr>
      <w:r w:rsidRPr="00F731BA">
        <w:rPr>
          <w:color w:val="000000" w:themeColor="text1"/>
        </w:rPr>
        <w:t>Courts and human rights tribunals frequently reference commission materials in their decisions, and institutions use these materials to amend policy and guide practice in anticipation of legal precedent. Nevertheless, the lack of clear precedent-setting legal rulings has led to considerable uncertainty (see Kirkup</w:t>
      </w:r>
      <w:r w:rsidR="0019655D" w:rsidRPr="00F731BA">
        <w:rPr>
          <w:color w:val="000000" w:themeColor="text1"/>
        </w:rPr>
        <w:t>,</w:t>
      </w:r>
      <w:r w:rsidRPr="00F731BA">
        <w:rPr>
          <w:color w:val="000000" w:themeColor="text1"/>
        </w:rPr>
        <w:t xml:space="preserve"> 2018). Among the few rulings to date, for example, there is a discrepancy as to whether gender identity </w:t>
      </w:r>
      <w:r w:rsidRPr="00F731BA">
        <w:rPr>
          <w:i/>
          <w:color w:val="000000" w:themeColor="text1"/>
        </w:rPr>
        <w:t>and/or</w:t>
      </w:r>
      <w:r w:rsidRPr="00F731BA">
        <w:rPr>
          <w:color w:val="000000" w:themeColor="text1"/>
        </w:rPr>
        <w:t xml:space="preserve"> gender expression protections apply to transgender people alone (see </w:t>
      </w:r>
      <w:r w:rsidR="004841CD" w:rsidRPr="00F731BA">
        <w:rPr>
          <w:rFonts w:eastAsia="Calibri"/>
          <w:color w:val="000000" w:themeColor="text1"/>
        </w:rPr>
        <w:t>Airton</w:t>
      </w:r>
      <w:r w:rsidR="00E403FE" w:rsidRPr="00F731BA">
        <w:rPr>
          <w:rFonts w:eastAsia="Calibri"/>
          <w:color w:val="000000" w:themeColor="text1"/>
        </w:rPr>
        <w:t xml:space="preserve"> et al., </w:t>
      </w:r>
      <w:r w:rsidR="004841CD" w:rsidRPr="00F731BA">
        <w:rPr>
          <w:rFonts w:eastAsia="Calibri"/>
          <w:color w:val="000000" w:themeColor="text1"/>
        </w:rPr>
        <w:t>2019</w:t>
      </w:r>
      <w:r w:rsidRPr="00F731BA">
        <w:rPr>
          <w:color w:val="000000" w:themeColor="text1"/>
        </w:rPr>
        <w:t xml:space="preserve">). Moreover, no ruling thus far has engaged the contexts in which early </w:t>
      </w:r>
      <w:r w:rsidR="006C0684" w:rsidRPr="00F731BA">
        <w:rPr>
          <w:color w:val="000000" w:themeColor="text1"/>
        </w:rPr>
        <w:t>childhood</w:t>
      </w:r>
      <w:r w:rsidRPr="00F731BA">
        <w:rPr>
          <w:color w:val="000000" w:themeColor="text1"/>
        </w:rPr>
        <w:t xml:space="preserve"> education takes place. And while the legal duty remains for early childhood educators</w:t>
      </w:r>
      <w:r w:rsidR="006C0684" w:rsidRPr="00F731BA">
        <w:rPr>
          <w:color w:val="000000" w:themeColor="text1"/>
        </w:rPr>
        <w:t xml:space="preserve"> (ECEs)</w:t>
      </w:r>
      <w:r w:rsidRPr="00F731BA">
        <w:rPr>
          <w:color w:val="000000" w:themeColor="text1"/>
        </w:rPr>
        <w:t xml:space="preserve"> and their institutions to provide an environment free of gender identity discrimination </w:t>
      </w:r>
      <w:r w:rsidRPr="00F731BA">
        <w:rPr>
          <w:i/>
          <w:color w:val="000000" w:themeColor="text1"/>
        </w:rPr>
        <w:t>and</w:t>
      </w:r>
      <w:r w:rsidRPr="00F731BA">
        <w:rPr>
          <w:color w:val="000000" w:themeColor="text1"/>
        </w:rPr>
        <w:t xml:space="preserve"> gender expression discrimination, the profession’s governing bodies and documents provide no explicit guidance as to how. </w:t>
      </w:r>
    </w:p>
    <w:p w14:paraId="27B36271" w14:textId="0B0B13DA" w:rsidR="000E03BE" w:rsidRPr="00F731BA" w:rsidRDefault="000E03BE" w:rsidP="00285980">
      <w:pPr>
        <w:widowControl w:val="0"/>
        <w:spacing w:line="240" w:lineRule="auto"/>
        <w:ind w:firstLine="720"/>
        <w:rPr>
          <w:color w:val="000000" w:themeColor="text1"/>
        </w:rPr>
      </w:pPr>
      <w:r w:rsidRPr="00F731BA">
        <w:rPr>
          <w:color w:val="000000" w:themeColor="text1"/>
        </w:rPr>
        <w:t xml:space="preserve">In what follows, we bridge early </w:t>
      </w:r>
      <w:r w:rsidR="005D240B" w:rsidRPr="00F731BA">
        <w:rPr>
          <w:color w:val="000000" w:themeColor="text1"/>
        </w:rPr>
        <w:t>childhood</w:t>
      </w:r>
      <w:r w:rsidRPr="00F731BA">
        <w:rPr>
          <w:color w:val="000000" w:themeColor="text1"/>
        </w:rPr>
        <w:t xml:space="preserve"> educators’ likely unfamiliar legal responsibilities in relation to gender identity and gender expression discrimination, and the familiar domain of </w:t>
      </w:r>
      <w:r w:rsidR="00A734EA" w:rsidRPr="00F731BA">
        <w:rPr>
          <w:color w:val="000000" w:themeColor="text1"/>
        </w:rPr>
        <w:t xml:space="preserve">classroom </w:t>
      </w:r>
      <w:r w:rsidRPr="00F731BA">
        <w:rPr>
          <w:color w:val="000000" w:themeColor="text1"/>
        </w:rPr>
        <w:t xml:space="preserve">life. Through </w:t>
      </w:r>
      <w:r w:rsidR="005D240B" w:rsidRPr="00F731BA">
        <w:rPr>
          <w:color w:val="000000" w:themeColor="text1"/>
        </w:rPr>
        <w:t xml:space="preserve">a </w:t>
      </w:r>
      <w:r w:rsidR="006E69D0" w:rsidRPr="00F731BA">
        <w:rPr>
          <w:color w:val="000000" w:themeColor="text1"/>
        </w:rPr>
        <w:t>critical</w:t>
      </w:r>
      <w:r w:rsidR="005D240B" w:rsidRPr="00F731BA">
        <w:rPr>
          <w:color w:val="000000" w:themeColor="text1"/>
        </w:rPr>
        <w:t xml:space="preserve"> </w:t>
      </w:r>
      <w:r w:rsidR="006E69D0" w:rsidRPr="00F731BA">
        <w:rPr>
          <w:color w:val="000000" w:themeColor="text1"/>
        </w:rPr>
        <w:t>reading</w:t>
      </w:r>
      <w:r w:rsidRPr="00F731BA">
        <w:rPr>
          <w:color w:val="000000" w:themeColor="text1"/>
        </w:rPr>
        <w:t xml:space="preserve">, </w:t>
      </w:r>
      <w:r w:rsidR="005D240B" w:rsidRPr="00F731BA">
        <w:rPr>
          <w:color w:val="000000" w:themeColor="text1"/>
        </w:rPr>
        <w:t xml:space="preserve">this research </w:t>
      </w:r>
      <w:r w:rsidRPr="00F731BA">
        <w:rPr>
          <w:color w:val="000000" w:themeColor="text1"/>
        </w:rPr>
        <w:t>demonstrate</w:t>
      </w:r>
      <w:r w:rsidR="005D240B" w:rsidRPr="00F731BA">
        <w:rPr>
          <w:color w:val="000000" w:themeColor="text1"/>
        </w:rPr>
        <w:t>s</w:t>
      </w:r>
      <w:r w:rsidRPr="00F731BA">
        <w:rPr>
          <w:color w:val="000000" w:themeColor="text1"/>
        </w:rPr>
        <w:t xml:space="preserve"> that ample support exists within the Ontario profession’s key guiding documents for a </w:t>
      </w:r>
      <w:r w:rsidR="00DF68D2" w:rsidRPr="00F731BA">
        <w:rPr>
          <w:color w:val="000000" w:themeColor="text1"/>
        </w:rPr>
        <w:t>“</w:t>
      </w:r>
      <w:r w:rsidRPr="00F731BA">
        <w:rPr>
          <w:color w:val="000000" w:themeColor="text1"/>
        </w:rPr>
        <w:t>gender-expansive</w:t>
      </w:r>
      <w:r w:rsidR="00DF68D2" w:rsidRPr="00F731BA">
        <w:rPr>
          <w:color w:val="000000" w:themeColor="text1"/>
        </w:rPr>
        <w:t>”</w:t>
      </w:r>
      <w:r w:rsidRPr="00F731BA">
        <w:rPr>
          <w:color w:val="000000" w:themeColor="text1"/>
        </w:rPr>
        <w:t xml:space="preserve"> (Airton</w:t>
      </w:r>
      <w:r w:rsidR="0019655D" w:rsidRPr="00F731BA">
        <w:rPr>
          <w:color w:val="000000" w:themeColor="text1"/>
        </w:rPr>
        <w:t>,</w:t>
      </w:r>
      <w:r w:rsidR="005110A0" w:rsidRPr="00F731BA">
        <w:rPr>
          <w:color w:val="000000" w:themeColor="text1"/>
        </w:rPr>
        <w:t xml:space="preserve"> </w:t>
      </w:r>
      <w:r w:rsidRPr="00F731BA">
        <w:rPr>
          <w:color w:val="000000" w:themeColor="text1"/>
        </w:rPr>
        <w:t>2018; Baum et al.</w:t>
      </w:r>
      <w:r w:rsidR="0019655D" w:rsidRPr="00F731BA">
        <w:rPr>
          <w:color w:val="000000" w:themeColor="text1"/>
        </w:rPr>
        <w:t>,</w:t>
      </w:r>
      <w:r w:rsidR="005110A0" w:rsidRPr="00F731BA">
        <w:rPr>
          <w:color w:val="000000" w:themeColor="text1"/>
        </w:rPr>
        <w:t xml:space="preserve"> </w:t>
      </w:r>
      <w:r w:rsidRPr="00F731BA">
        <w:rPr>
          <w:color w:val="000000" w:themeColor="text1"/>
        </w:rPr>
        <w:t xml:space="preserve">2012; Martino </w:t>
      </w:r>
      <w:r w:rsidR="00E403FE" w:rsidRPr="00F731BA">
        <w:rPr>
          <w:color w:val="000000" w:themeColor="text1"/>
        </w:rPr>
        <w:t>and</w:t>
      </w:r>
      <w:r w:rsidRPr="00F731BA">
        <w:rPr>
          <w:color w:val="000000" w:themeColor="text1"/>
        </w:rPr>
        <w:t xml:space="preserve"> Cumming-Potvin</w:t>
      </w:r>
      <w:r w:rsidR="0019655D" w:rsidRPr="00F731BA">
        <w:rPr>
          <w:color w:val="000000" w:themeColor="text1"/>
        </w:rPr>
        <w:t>,</w:t>
      </w:r>
      <w:r w:rsidRPr="00F731BA">
        <w:rPr>
          <w:color w:val="000000" w:themeColor="text1"/>
        </w:rPr>
        <w:t xml:space="preserve"> 2018) early </w:t>
      </w:r>
      <w:r w:rsidR="005D240B" w:rsidRPr="00F731BA">
        <w:rPr>
          <w:color w:val="000000" w:themeColor="text1"/>
        </w:rPr>
        <w:t>childhood</w:t>
      </w:r>
      <w:r w:rsidRPr="00F731BA">
        <w:rPr>
          <w:color w:val="000000" w:themeColor="text1"/>
        </w:rPr>
        <w:t xml:space="preserve"> practice. In our rendering, gender-expansive early years practice is an approach to teaching young children and supporting their development that both </w:t>
      </w:r>
      <w:r w:rsidRPr="00F731BA">
        <w:rPr>
          <w:i/>
          <w:color w:val="000000" w:themeColor="text1"/>
        </w:rPr>
        <w:t>expects</w:t>
      </w:r>
      <w:r w:rsidRPr="00F731BA">
        <w:rPr>
          <w:color w:val="000000" w:themeColor="text1"/>
        </w:rPr>
        <w:t xml:space="preserve"> and </w:t>
      </w:r>
      <w:r w:rsidRPr="00F731BA">
        <w:rPr>
          <w:i/>
          <w:color w:val="000000" w:themeColor="text1"/>
        </w:rPr>
        <w:t>sustains</w:t>
      </w:r>
      <w:r w:rsidRPr="00F731BA">
        <w:rPr>
          <w:color w:val="000000" w:themeColor="text1"/>
        </w:rPr>
        <w:t xml:space="preserve"> (see Paris</w:t>
      </w:r>
      <w:r w:rsidR="00E403FE" w:rsidRPr="00F731BA">
        <w:rPr>
          <w:color w:val="000000" w:themeColor="text1"/>
        </w:rPr>
        <w:t>,</w:t>
      </w:r>
      <w:r w:rsidRPr="00F731BA">
        <w:rPr>
          <w:color w:val="000000" w:themeColor="text1"/>
        </w:rPr>
        <w:t xml:space="preserve"> 2012; Paris </w:t>
      </w:r>
      <w:r w:rsidR="00E403FE" w:rsidRPr="00F731BA">
        <w:rPr>
          <w:color w:val="000000" w:themeColor="text1"/>
        </w:rPr>
        <w:t>and</w:t>
      </w:r>
      <w:r w:rsidRPr="00F731BA">
        <w:rPr>
          <w:color w:val="000000" w:themeColor="text1"/>
        </w:rPr>
        <w:t xml:space="preserve"> Alim 2014) childhood gender diversity, whether on the order of gender identity or gender expression. We argue that, despite making limited reference to gender diversity, the Ontario profession’s key guiding documents</w:t>
      </w:r>
      <w:r w:rsidR="00285980" w:rsidRPr="00F731BA">
        <w:rPr>
          <w:color w:val="000000" w:themeColor="text1"/>
        </w:rPr>
        <w:t xml:space="preserve"> (</w:t>
      </w:r>
      <w:r w:rsidR="00285980" w:rsidRPr="00F731BA">
        <w:rPr>
          <w:i/>
          <w:color w:val="000000" w:themeColor="text1"/>
        </w:rPr>
        <w:t>Early Learning for Every Child Today: A Framework for Ontario Early Childhood Settings</w:t>
      </w:r>
      <w:r w:rsidR="00285980" w:rsidRPr="00F731BA">
        <w:rPr>
          <w:color w:val="000000" w:themeColor="text1"/>
        </w:rPr>
        <w:t xml:space="preserve"> (ELECT) (BSEP, 2007), and (2) </w:t>
      </w:r>
      <w:r w:rsidR="00285980" w:rsidRPr="00F731BA">
        <w:rPr>
          <w:i/>
          <w:color w:val="000000" w:themeColor="text1"/>
        </w:rPr>
        <w:t>How Does Learning Happen? Ontario’s Pedagogy for the Early Years</w:t>
      </w:r>
      <w:r w:rsidR="00285980" w:rsidRPr="00F731BA">
        <w:rPr>
          <w:color w:val="000000" w:themeColor="text1"/>
        </w:rPr>
        <w:t xml:space="preserve"> (HDLH) (OMOE, 2014)</w:t>
      </w:r>
      <w:r w:rsidRPr="00F731BA">
        <w:rPr>
          <w:color w:val="000000" w:themeColor="text1"/>
        </w:rPr>
        <w:t xml:space="preserve"> support and </w:t>
      </w:r>
      <w:r w:rsidRPr="00F731BA">
        <w:rPr>
          <w:i/>
          <w:color w:val="000000" w:themeColor="text1"/>
        </w:rPr>
        <w:t xml:space="preserve">even tacitly require </w:t>
      </w:r>
      <w:r w:rsidRPr="00F731BA">
        <w:rPr>
          <w:color w:val="000000" w:themeColor="text1"/>
        </w:rPr>
        <w:t xml:space="preserve">gender-expansive practice in early years centres, and a </w:t>
      </w:r>
      <w:r w:rsidRPr="00F731BA">
        <w:rPr>
          <w:color w:val="000000" w:themeColor="text1"/>
        </w:rPr>
        <w:lastRenderedPageBreak/>
        <w:t>similar reading is possible internationally.</w:t>
      </w:r>
      <w:r w:rsidR="00B627E0" w:rsidRPr="00F731BA">
        <w:rPr>
          <w:color w:val="000000" w:themeColor="text1"/>
        </w:rPr>
        <w:br/>
      </w:r>
    </w:p>
    <w:p w14:paraId="36AC5637" w14:textId="269FFB32" w:rsidR="000E03BE" w:rsidRPr="00F731BA" w:rsidRDefault="000E03BE" w:rsidP="00B627E0">
      <w:pPr>
        <w:widowControl w:val="0"/>
        <w:spacing w:line="240" w:lineRule="auto"/>
        <w:jc w:val="center"/>
        <w:rPr>
          <w:b/>
          <w:color w:val="000000" w:themeColor="text1"/>
        </w:rPr>
      </w:pPr>
      <w:r w:rsidRPr="00F731BA">
        <w:rPr>
          <w:b/>
          <w:color w:val="000000" w:themeColor="text1"/>
        </w:rPr>
        <w:t>A Conceptual Framework for Gender-Expansive Early Years Practice</w:t>
      </w:r>
    </w:p>
    <w:p w14:paraId="0C743F7F" w14:textId="3B42B5D6" w:rsidR="000E03BE" w:rsidRPr="00F731BA" w:rsidRDefault="00EA2C9E" w:rsidP="00B627E0">
      <w:pPr>
        <w:widowControl w:val="0"/>
        <w:spacing w:line="240" w:lineRule="auto"/>
        <w:ind w:firstLine="720"/>
        <w:rPr>
          <w:color w:val="000000" w:themeColor="text1"/>
        </w:rPr>
      </w:pPr>
      <w:r w:rsidRPr="00F731BA">
        <w:rPr>
          <w:color w:val="000000" w:themeColor="text1"/>
        </w:rPr>
        <w:t>Our</w:t>
      </w:r>
      <w:r w:rsidR="000757F0" w:rsidRPr="00F731BA">
        <w:rPr>
          <w:color w:val="000000" w:themeColor="text1"/>
        </w:rPr>
        <w:t xml:space="preserve"> </w:t>
      </w:r>
      <w:r w:rsidR="000E03BE" w:rsidRPr="00F731BA">
        <w:rPr>
          <w:color w:val="000000" w:themeColor="text1"/>
        </w:rPr>
        <w:t xml:space="preserve">conceptualization of gender-expansive practice is </w:t>
      </w:r>
      <w:r w:rsidR="000E03BE" w:rsidRPr="00F731BA">
        <w:rPr>
          <w:iCs/>
          <w:color w:val="000000" w:themeColor="text1"/>
        </w:rPr>
        <w:t>proactive in that it seeks to prevent gender identity discrimination and gender expression discrimination, and not only respond</w:t>
      </w:r>
      <w:r w:rsidR="000E03BE" w:rsidRPr="00F731BA">
        <w:rPr>
          <w:color w:val="000000" w:themeColor="text1"/>
        </w:rPr>
        <w:t xml:space="preserve"> to individual discrimination events. To begin thinking through how a proactive approach would impact early years education, consider how the OHRC (2008) defines discrimination: it </w:t>
      </w:r>
      <w:r w:rsidR="00880FAD" w:rsidRPr="00F731BA">
        <w:rPr>
          <w:color w:val="000000" w:themeColor="text1"/>
        </w:rPr>
        <w:t>“</w:t>
      </w:r>
      <w:r w:rsidR="000E03BE" w:rsidRPr="00F731BA">
        <w:rPr>
          <w:color w:val="000000" w:themeColor="text1"/>
        </w:rPr>
        <w:t xml:space="preserve">may be direct and intentional (for example, if a person or group treats another person differently on purpose because of a </w:t>
      </w:r>
      <w:r w:rsidR="000E03BE" w:rsidRPr="00F731BA">
        <w:rPr>
          <w:i/>
          <w:color w:val="000000" w:themeColor="text1"/>
        </w:rPr>
        <w:t>Code</w:t>
      </w:r>
      <w:r w:rsidR="000E03BE" w:rsidRPr="00F731BA">
        <w:rPr>
          <w:color w:val="000000" w:themeColor="text1"/>
        </w:rPr>
        <w:t xml:space="preserve"> ground)</w:t>
      </w:r>
      <w:r w:rsidR="00880FAD" w:rsidRPr="00F731BA">
        <w:rPr>
          <w:color w:val="000000" w:themeColor="text1"/>
        </w:rPr>
        <w:t>”</w:t>
      </w:r>
      <w:r w:rsidR="000E03BE" w:rsidRPr="00F731BA">
        <w:rPr>
          <w:color w:val="000000" w:themeColor="text1"/>
        </w:rPr>
        <w:t xml:space="preserve"> but may also be </w:t>
      </w:r>
      <w:r w:rsidR="00DF68D2" w:rsidRPr="00F731BA">
        <w:rPr>
          <w:color w:val="000000" w:themeColor="text1"/>
        </w:rPr>
        <w:t>“</w:t>
      </w:r>
      <w:r w:rsidR="000E03BE" w:rsidRPr="00F731BA">
        <w:rPr>
          <w:color w:val="000000" w:themeColor="text1"/>
        </w:rPr>
        <w:t>subtle or covert. Intent or motive to discriminate is not a necessary element for a finding of discrimination – it is sufficient if the conduct has a discriminatory effect</w:t>
      </w:r>
      <w:r w:rsidR="00DF68D2" w:rsidRPr="00F731BA">
        <w:rPr>
          <w:color w:val="000000" w:themeColor="text1"/>
        </w:rPr>
        <w:t>”</w:t>
      </w:r>
      <w:r w:rsidR="000E03BE" w:rsidRPr="00F731BA">
        <w:rPr>
          <w:color w:val="000000" w:themeColor="text1"/>
        </w:rPr>
        <w:t xml:space="preserve"> (n.p.). In addition, </w:t>
      </w:r>
      <w:r w:rsidR="00880FAD" w:rsidRPr="00F731BA">
        <w:rPr>
          <w:color w:val="000000" w:themeColor="text1"/>
        </w:rPr>
        <w:t>“</w:t>
      </w:r>
      <w:r w:rsidR="000E03BE" w:rsidRPr="00F731BA">
        <w:rPr>
          <w:color w:val="000000" w:themeColor="text1"/>
        </w:rPr>
        <w:t>discrimination exists when rules, standards or requirements that appear to be neutral have a discriminatory impact on people identified by the Code</w:t>
      </w:r>
      <w:r w:rsidR="00880FAD" w:rsidRPr="00F731BA">
        <w:rPr>
          <w:color w:val="000000" w:themeColor="text1"/>
        </w:rPr>
        <w:t>”</w:t>
      </w:r>
      <w:r w:rsidR="000E03BE" w:rsidRPr="00F731BA">
        <w:rPr>
          <w:color w:val="000000" w:themeColor="text1"/>
        </w:rPr>
        <w:t xml:space="preserve"> (n.p.). Within this frame are two basic forms of discrimination for which an institution may be held accountable: </w:t>
      </w:r>
      <w:r w:rsidR="000E03BE" w:rsidRPr="00F731BA">
        <w:rPr>
          <w:i/>
          <w:color w:val="000000" w:themeColor="text1"/>
        </w:rPr>
        <w:t>interpersonal</w:t>
      </w:r>
      <w:r w:rsidR="000E03BE" w:rsidRPr="00F731BA">
        <w:rPr>
          <w:color w:val="000000" w:themeColor="text1"/>
        </w:rPr>
        <w:t xml:space="preserve"> - whether intentional or no</w:t>
      </w:r>
      <w:r w:rsidR="00F53DD7" w:rsidRPr="00F731BA">
        <w:rPr>
          <w:color w:val="000000" w:themeColor="text1"/>
        </w:rPr>
        <w:t>t</w:t>
      </w:r>
      <w:r w:rsidR="000E03BE" w:rsidRPr="00F731BA">
        <w:rPr>
          <w:color w:val="000000" w:themeColor="text1"/>
        </w:rPr>
        <w:t xml:space="preserve"> - on the part of its actors, and </w:t>
      </w:r>
      <w:r w:rsidR="000E03BE" w:rsidRPr="00F731BA">
        <w:rPr>
          <w:i/>
          <w:color w:val="000000" w:themeColor="text1"/>
        </w:rPr>
        <w:t>institutional</w:t>
      </w:r>
      <w:r w:rsidR="000E03BE" w:rsidRPr="00F731BA">
        <w:rPr>
          <w:color w:val="000000" w:themeColor="text1"/>
        </w:rPr>
        <w:t>, or caused by structures like rules and routines.</w:t>
      </w:r>
    </w:p>
    <w:p w14:paraId="62B49180" w14:textId="4864708D" w:rsidR="000E03BE" w:rsidRPr="00F731BA" w:rsidRDefault="000E03BE" w:rsidP="00B627E0">
      <w:pPr>
        <w:widowControl w:val="0"/>
        <w:spacing w:line="240" w:lineRule="auto"/>
        <w:ind w:firstLine="720"/>
        <w:rPr>
          <w:color w:val="000000" w:themeColor="text1"/>
        </w:rPr>
      </w:pPr>
      <w:r w:rsidRPr="00F731BA">
        <w:rPr>
          <w:color w:val="000000" w:themeColor="text1"/>
        </w:rPr>
        <w:t xml:space="preserve">What, then, is </w:t>
      </w:r>
      <w:r w:rsidRPr="00F731BA">
        <w:rPr>
          <w:i/>
          <w:color w:val="000000" w:themeColor="text1"/>
        </w:rPr>
        <w:t>gender identity discrimination</w:t>
      </w:r>
      <w:r w:rsidRPr="00F731BA">
        <w:rPr>
          <w:color w:val="000000" w:themeColor="text1"/>
        </w:rPr>
        <w:t xml:space="preserve"> when it appears in the early </w:t>
      </w:r>
      <w:r w:rsidR="00C560F1" w:rsidRPr="00F731BA">
        <w:rPr>
          <w:color w:val="000000" w:themeColor="text1"/>
        </w:rPr>
        <w:t>years</w:t>
      </w:r>
      <w:r w:rsidRPr="00F731BA">
        <w:rPr>
          <w:color w:val="000000" w:themeColor="text1"/>
        </w:rPr>
        <w:t xml:space="preserve"> classroom? What does </w:t>
      </w:r>
      <w:r w:rsidR="003777C0" w:rsidRPr="00F731BA">
        <w:rPr>
          <w:color w:val="000000" w:themeColor="text1"/>
        </w:rPr>
        <w:t>it</w:t>
      </w:r>
      <w:r w:rsidRPr="00F731BA">
        <w:rPr>
          <w:color w:val="000000" w:themeColor="text1"/>
        </w:rPr>
        <w:t xml:space="preserve"> look, sound or feel like in learning environments geared toward very young children? How might </w:t>
      </w:r>
      <w:r w:rsidRPr="00F731BA">
        <w:rPr>
          <w:i/>
          <w:color w:val="000000" w:themeColor="text1"/>
        </w:rPr>
        <w:t>interpersonal</w:t>
      </w:r>
      <w:r w:rsidRPr="00F731BA">
        <w:rPr>
          <w:color w:val="000000" w:themeColor="text1"/>
        </w:rPr>
        <w:t xml:space="preserve"> and </w:t>
      </w:r>
      <w:r w:rsidRPr="00F731BA">
        <w:rPr>
          <w:i/>
          <w:color w:val="000000" w:themeColor="text1"/>
        </w:rPr>
        <w:t>institutional</w:t>
      </w:r>
      <w:r w:rsidRPr="00F731BA">
        <w:rPr>
          <w:color w:val="000000" w:themeColor="text1"/>
        </w:rPr>
        <w:t xml:space="preserve"> gender identity discrimination play out differently? Who might be at risk from either form, and who might be caught up in its enactment, intentionally or not? We </w:t>
      </w:r>
      <w:r w:rsidR="003777C0" w:rsidRPr="00F731BA">
        <w:rPr>
          <w:color w:val="000000" w:themeColor="text1"/>
        </w:rPr>
        <w:t xml:space="preserve">must </w:t>
      </w:r>
      <w:r w:rsidRPr="00F731BA">
        <w:rPr>
          <w:color w:val="000000" w:themeColor="text1"/>
        </w:rPr>
        <w:t xml:space="preserve">ask the very same questions about </w:t>
      </w:r>
      <w:r w:rsidRPr="00F731BA">
        <w:rPr>
          <w:i/>
          <w:color w:val="000000" w:themeColor="text1"/>
        </w:rPr>
        <w:t>gender expression discrimination</w:t>
      </w:r>
      <w:r w:rsidRPr="00F731BA">
        <w:rPr>
          <w:color w:val="000000" w:themeColor="text1"/>
        </w:rPr>
        <w:t xml:space="preserve"> when it appears in </w:t>
      </w:r>
      <w:r w:rsidR="00EA2C9E" w:rsidRPr="00F731BA">
        <w:rPr>
          <w:color w:val="000000" w:themeColor="text1"/>
        </w:rPr>
        <w:t>early-years classrooms</w:t>
      </w:r>
      <w:r w:rsidR="003777C0" w:rsidRPr="00F731BA">
        <w:rPr>
          <w:color w:val="000000" w:themeColor="text1"/>
        </w:rPr>
        <w:t xml:space="preserve">, </w:t>
      </w:r>
      <w:r w:rsidRPr="00F731BA">
        <w:rPr>
          <w:color w:val="000000" w:themeColor="text1"/>
        </w:rPr>
        <w:t xml:space="preserve">as </w:t>
      </w:r>
      <w:r w:rsidR="003777C0" w:rsidRPr="00F731BA">
        <w:rPr>
          <w:color w:val="000000" w:themeColor="text1"/>
        </w:rPr>
        <w:t>it is a</w:t>
      </w:r>
      <w:r w:rsidRPr="00F731BA">
        <w:rPr>
          <w:color w:val="000000" w:themeColor="text1"/>
        </w:rPr>
        <w:t xml:space="preserve"> distinct ground. </w:t>
      </w:r>
      <w:r w:rsidR="006C0684" w:rsidRPr="00F731BA">
        <w:rPr>
          <w:color w:val="000000" w:themeColor="text1"/>
        </w:rPr>
        <w:t>ECEs</w:t>
      </w:r>
      <w:r w:rsidRPr="00F731BA">
        <w:rPr>
          <w:color w:val="000000" w:themeColor="text1"/>
        </w:rPr>
        <w:t xml:space="preserve"> must proactively mitigate </w:t>
      </w:r>
      <w:r w:rsidRPr="00F731BA">
        <w:rPr>
          <w:i/>
          <w:color w:val="000000" w:themeColor="text1"/>
        </w:rPr>
        <w:t>each</w:t>
      </w:r>
      <w:r w:rsidRPr="00F731BA">
        <w:rPr>
          <w:color w:val="000000" w:themeColor="text1"/>
        </w:rPr>
        <w:t xml:space="preserve"> form of discrimination.</w:t>
      </w:r>
    </w:p>
    <w:p w14:paraId="34BF9C47" w14:textId="0A09EDE6" w:rsidR="000E03BE" w:rsidRPr="00F731BA" w:rsidRDefault="000E03BE" w:rsidP="00B627E0">
      <w:pPr>
        <w:widowControl w:val="0"/>
        <w:spacing w:line="240" w:lineRule="auto"/>
        <w:ind w:firstLine="720"/>
        <w:rPr>
          <w:color w:val="000000" w:themeColor="text1"/>
        </w:rPr>
      </w:pPr>
      <w:r w:rsidRPr="00F731BA">
        <w:rPr>
          <w:color w:val="000000" w:themeColor="text1"/>
        </w:rPr>
        <w:t>In</w:t>
      </w:r>
      <w:r w:rsidR="00EA2C9E" w:rsidRPr="00F731BA">
        <w:rPr>
          <w:color w:val="000000" w:themeColor="text1"/>
        </w:rPr>
        <w:t xml:space="preserve"> the early years</w:t>
      </w:r>
      <w:r w:rsidRPr="00F731BA">
        <w:rPr>
          <w:color w:val="000000" w:themeColor="text1"/>
        </w:rPr>
        <w:t xml:space="preserve">, </w:t>
      </w:r>
      <w:r w:rsidRPr="00F731BA">
        <w:rPr>
          <w:i/>
          <w:color w:val="000000" w:themeColor="text1"/>
        </w:rPr>
        <w:t>interpersonal</w:t>
      </w:r>
      <w:r w:rsidRPr="00F731BA">
        <w:rPr>
          <w:color w:val="000000" w:themeColor="text1"/>
        </w:rPr>
        <w:t xml:space="preserve"> gender expression discrimination would likely </w:t>
      </w:r>
      <w:r w:rsidR="003777C0" w:rsidRPr="00F731BA">
        <w:rPr>
          <w:color w:val="000000" w:themeColor="text1"/>
        </w:rPr>
        <w:t>see</w:t>
      </w:r>
      <w:r w:rsidRPr="00F731BA">
        <w:rPr>
          <w:color w:val="000000" w:themeColor="text1"/>
        </w:rPr>
        <w:t xml:space="preserve"> a child </w:t>
      </w:r>
      <w:r w:rsidR="003777C0" w:rsidRPr="00F731BA">
        <w:rPr>
          <w:color w:val="000000" w:themeColor="text1"/>
        </w:rPr>
        <w:t xml:space="preserve">receive </w:t>
      </w:r>
      <w:r w:rsidRPr="00F731BA">
        <w:rPr>
          <w:color w:val="000000" w:themeColor="text1"/>
        </w:rPr>
        <w:t xml:space="preserve">differential treatment on the basis of gender non-conforming clothing, hair, behaviour and/or interests. If </w:t>
      </w:r>
      <w:r w:rsidRPr="00F731BA">
        <w:rPr>
          <w:i/>
          <w:color w:val="000000" w:themeColor="text1"/>
        </w:rPr>
        <w:t>intentional</w:t>
      </w:r>
      <w:r w:rsidRPr="00F731BA">
        <w:rPr>
          <w:color w:val="000000" w:themeColor="text1"/>
        </w:rPr>
        <w:t xml:space="preserve">, a child </w:t>
      </w:r>
      <w:r w:rsidR="003777C0" w:rsidRPr="00F731BA">
        <w:rPr>
          <w:color w:val="000000" w:themeColor="text1"/>
        </w:rPr>
        <w:t xml:space="preserve">could </w:t>
      </w:r>
      <w:r w:rsidRPr="00F731BA">
        <w:rPr>
          <w:color w:val="000000" w:themeColor="text1"/>
        </w:rPr>
        <w:t>be explicitly told or shown by an ECE that how they are expressing gender is wrong, whereas children with gender-conforming gender expressions (e.g., boys with typically masculine clothing, hair, and interests) are not;</w:t>
      </w:r>
      <w:r w:rsidR="003777C0" w:rsidRPr="00F731BA">
        <w:rPr>
          <w:color w:val="000000" w:themeColor="text1"/>
        </w:rPr>
        <w:t xml:space="preserve"> for example,</w:t>
      </w:r>
      <w:r w:rsidRPr="00F731BA">
        <w:rPr>
          <w:color w:val="000000" w:themeColor="text1"/>
        </w:rPr>
        <w:t xml:space="preserve"> </w:t>
      </w:r>
      <w:r w:rsidR="003777C0" w:rsidRPr="00F731BA">
        <w:rPr>
          <w:color w:val="000000" w:themeColor="text1"/>
        </w:rPr>
        <w:t xml:space="preserve">they could </w:t>
      </w:r>
      <w:r w:rsidRPr="00F731BA">
        <w:rPr>
          <w:color w:val="000000" w:themeColor="text1"/>
        </w:rPr>
        <w:t xml:space="preserve">be explicitly re-directed away from gender non-conforming play because X </w:t>
      </w:r>
      <w:r w:rsidR="00880FAD" w:rsidRPr="00F731BA">
        <w:rPr>
          <w:color w:val="000000" w:themeColor="text1"/>
        </w:rPr>
        <w:t>“</w:t>
      </w:r>
      <w:r w:rsidRPr="00F731BA">
        <w:rPr>
          <w:color w:val="000000" w:themeColor="text1"/>
        </w:rPr>
        <w:t>is not for them.</w:t>
      </w:r>
      <w:r w:rsidR="00880FAD" w:rsidRPr="00F731BA">
        <w:rPr>
          <w:color w:val="000000" w:themeColor="text1"/>
        </w:rPr>
        <w:t>”</w:t>
      </w:r>
      <w:r w:rsidRPr="00F731BA">
        <w:rPr>
          <w:color w:val="000000" w:themeColor="text1"/>
        </w:rPr>
        <w:t xml:space="preserve"> If </w:t>
      </w:r>
      <w:r w:rsidRPr="00F731BA">
        <w:rPr>
          <w:i/>
          <w:color w:val="000000" w:themeColor="text1"/>
        </w:rPr>
        <w:t>unintentional</w:t>
      </w:r>
      <w:r w:rsidRPr="00F731BA">
        <w:rPr>
          <w:color w:val="000000" w:themeColor="text1"/>
        </w:rPr>
        <w:t xml:space="preserve">, this could be a pattern whereby a gender non-conforming child receives less attention or interest from ECEs, who may be reluctant to reward or sanction gender non-conforming play or other behaviour. An example of </w:t>
      </w:r>
      <w:r w:rsidRPr="00F731BA">
        <w:rPr>
          <w:i/>
          <w:color w:val="000000" w:themeColor="text1"/>
        </w:rPr>
        <w:t>institutional</w:t>
      </w:r>
      <w:r w:rsidRPr="00F731BA">
        <w:rPr>
          <w:color w:val="000000" w:themeColor="text1"/>
        </w:rPr>
        <w:t xml:space="preserve"> gender expression discrimination in the early years is the common practice of offering </w:t>
      </w:r>
      <w:r w:rsidR="002D2F61" w:rsidRPr="00F731BA">
        <w:rPr>
          <w:color w:val="000000" w:themeColor="text1"/>
        </w:rPr>
        <w:t xml:space="preserve">self-selected </w:t>
      </w:r>
      <w:r w:rsidRPr="00F731BA">
        <w:rPr>
          <w:color w:val="000000" w:themeColor="text1"/>
        </w:rPr>
        <w:t>learning centre</w:t>
      </w:r>
      <w:r w:rsidR="002D2F61" w:rsidRPr="00F731BA">
        <w:rPr>
          <w:color w:val="000000" w:themeColor="text1"/>
        </w:rPr>
        <w:t>s</w:t>
      </w:r>
      <w:r w:rsidRPr="00F731BA">
        <w:rPr>
          <w:color w:val="000000" w:themeColor="text1"/>
        </w:rPr>
        <w:t xml:space="preserve">. This practice could enforce and reward gender conformity if, say, the learning centre themes are intensively gendered. If only the </w:t>
      </w:r>
      <w:r w:rsidR="006C0684" w:rsidRPr="00F731BA">
        <w:rPr>
          <w:color w:val="000000" w:themeColor="text1"/>
        </w:rPr>
        <w:t>race car</w:t>
      </w:r>
      <w:r w:rsidRPr="00F731BA">
        <w:rPr>
          <w:color w:val="000000" w:themeColor="text1"/>
        </w:rPr>
        <w:t xml:space="preserve"> track and the home centre are available, this may prevent non-conforming girls or boys from playing according to their authentic interests i.e., expressing gender in their own way. Making a witnessed choice (Thorne</w:t>
      </w:r>
      <w:r w:rsidR="000757F0" w:rsidRPr="00F731BA">
        <w:rPr>
          <w:color w:val="000000" w:themeColor="text1"/>
        </w:rPr>
        <w:t>,</w:t>
      </w:r>
      <w:r w:rsidR="005110A0" w:rsidRPr="00F731BA">
        <w:rPr>
          <w:color w:val="000000" w:themeColor="text1"/>
        </w:rPr>
        <w:t xml:space="preserve"> </w:t>
      </w:r>
      <w:r w:rsidRPr="00F731BA">
        <w:rPr>
          <w:color w:val="000000" w:themeColor="text1"/>
        </w:rPr>
        <w:t>1993) in front of peers and ECEs often result</w:t>
      </w:r>
      <w:r w:rsidR="002D2F61" w:rsidRPr="00F731BA">
        <w:rPr>
          <w:color w:val="000000" w:themeColor="text1"/>
        </w:rPr>
        <w:t>s</w:t>
      </w:r>
      <w:r w:rsidRPr="00F731BA">
        <w:rPr>
          <w:color w:val="000000" w:themeColor="text1"/>
        </w:rPr>
        <w:t xml:space="preserve"> in gender-conforming behaviour in order to blend in. </w:t>
      </w:r>
    </w:p>
    <w:p w14:paraId="35DB292F" w14:textId="39F83618" w:rsidR="000E03BE" w:rsidRPr="00F731BA" w:rsidRDefault="000E03BE" w:rsidP="00B627E0">
      <w:pPr>
        <w:widowControl w:val="0"/>
        <w:spacing w:line="240" w:lineRule="auto"/>
        <w:ind w:firstLine="720"/>
        <w:rPr>
          <w:color w:val="000000" w:themeColor="text1"/>
        </w:rPr>
      </w:pPr>
      <w:r w:rsidRPr="00F731BA">
        <w:rPr>
          <w:color w:val="000000" w:themeColor="text1"/>
        </w:rPr>
        <w:t xml:space="preserve">While preventing gender </w:t>
      </w:r>
      <w:r w:rsidRPr="00F731BA">
        <w:rPr>
          <w:i/>
          <w:color w:val="000000" w:themeColor="text1"/>
        </w:rPr>
        <w:t>expression</w:t>
      </w:r>
      <w:r w:rsidRPr="00F731BA">
        <w:rPr>
          <w:color w:val="000000" w:themeColor="text1"/>
        </w:rPr>
        <w:t xml:space="preserve"> discrimination clearly requires changes in educator disposition, this age group challenges any clear-cut elucidation of gender </w:t>
      </w:r>
      <w:r w:rsidRPr="00F731BA">
        <w:rPr>
          <w:i/>
          <w:color w:val="000000" w:themeColor="text1"/>
        </w:rPr>
        <w:t>identity</w:t>
      </w:r>
      <w:r w:rsidRPr="00F731BA">
        <w:rPr>
          <w:color w:val="000000" w:themeColor="text1"/>
        </w:rPr>
        <w:t xml:space="preserve"> discrimination. If, as above, gender identity discrimination is something that only happens to transgender people and only when their transgender status is apparent, self-declared or disclosed by another, it follows that transgender people are likely shielded from the same while they are </w:t>
      </w:r>
      <w:r w:rsidR="00DF68D2" w:rsidRPr="00F731BA">
        <w:rPr>
          <w:color w:val="000000" w:themeColor="text1"/>
        </w:rPr>
        <w:t>“</w:t>
      </w:r>
      <w:r w:rsidRPr="00F731BA">
        <w:rPr>
          <w:color w:val="000000" w:themeColor="text1"/>
        </w:rPr>
        <w:t>passing</w:t>
      </w:r>
      <w:r w:rsidR="00DF68D2" w:rsidRPr="00F731BA">
        <w:rPr>
          <w:color w:val="000000" w:themeColor="text1"/>
        </w:rPr>
        <w:t>”</w:t>
      </w:r>
      <w:r w:rsidRPr="00F731BA">
        <w:rPr>
          <w:color w:val="000000" w:themeColor="text1"/>
        </w:rPr>
        <w:t xml:space="preserve"> as a person of their assigned sex (if they are not out) or gender identity (if they are). In either instance, they would likely not be barred from accessing gendered spaces or activities (etc.), provided that they are accessing the wrong ones when appearing as a person of their assigned sex. At the centre of this formulation, however, is </w:t>
      </w:r>
      <w:r w:rsidRPr="00F731BA">
        <w:rPr>
          <w:i/>
          <w:color w:val="000000" w:themeColor="text1"/>
        </w:rPr>
        <w:t>someone who has articulated that they are transgender</w:t>
      </w:r>
      <w:r w:rsidRPr="00F731BA">
        <w:rPr>
          <w:color w:val="000000" w:themeColor="text1"/>
        </w:rPr>
        <w:t xml:space="preserve">. This requires an awareness of self as well as the capacity to articulate that self to others in a fairly complex way that </w:t>
      </w:r>
      <w:r w:rsidR="007127E1" w:rsidRPr="00F731BA">
        <w:rPr>
          <w:color w:val="000000" w:themeColor="text1"/>
        </w:rPr>
        <w:t xml:space="preserve">is not </w:t>
      </w:r>
      <w:r w:rsidR="007127E1" w:rsidRPr="00F731BA">
        <w:rPr>
          <w:color w:val="000000" w:themeColor="text1"/>
        </w:rPr>
        <w:lastRenderedPageBreak/>
        <w:t>forthcoming</w:t>
      </w:r>
      <w:r w:rsidRPr="00F731BA">
        <w:rPr>
          <w:color w:val="000000" w:themeColor="text1"/>
        </w:rPr>
        <w:t xml:space="preserve"> from </w:t>
      </w:r>
      <w:r w:rsidR="000757F0" w:rsidRPr="00F731BA">
        <w:rPr>
          <w:color w:val="000000" w:themeColor="text1"/>
        </w:rPr>
        <w:t xml:space="preserve">a </w:t>
      </w:r>
      <w:r w:rsidR="000F4EDB" w:rsidRPr="00F731BA">
        <w:rPr>
          <w:color w:val="000000" w:themeColor="text1"/>
        </w:rPr>
        <w:t>pre-schooler</w:t>
      </w:r>
      <w:r w:rsidRPr="00F731BA">
        <w:rPr>
          <w:color w:val="000000" w:themeColor="text1"/>
        </w:rPr>
        <w:t>.</w:t>
      </w:r>
    </w:p>
    <w:p w14:paraId="33C7BE4D" w14:textId="061C9F47" w:rsidR="000E03BE" w:rsidRPr="00F731BA" w:rsidRDefault="000E03BE" w:rsidP="00B627E0">
      <w:pPr>
        <w:widowControl w:val="0"/>
        <w:spacing w:line="240" w:lineRule="auto"/>
        <w:ind w:firstLine="720"/>
        <w:rPr>
          <w:color w:val="000000" w:themeColor="text1"/>
        </w:rPr>
      </w:pPr>
      <w:r w:rsidRPr="00F731BA">
        <w:rPr>
          <w:color w:val="000000" w:themeColor="text1"/>
        </w:rPr>
        <w:t xml:space="preserve"> Adult- or adolescent-centric notions of gender identity discrimination commonly centre on refusal: for example, a transgender woman is refused entry to a women’s bathroom, or a nonbinary high school student </w:t>
      </w:r>
      <w:r w:rsidR="00E911EE" w:rsidRPr="00F731BA">
        <w:rPr>
          <w:color w:val="000000" w:themeColor="text1"/>
        </w:rPr>
        <w:t>excluded</w:t>
      </w:r>
      <w:r w:rsidRPr="00F731BA">
        <w:rPr>
          <w:color w:val="000000" w:themeColor="text1"/>
        </w:rPr>
        <w:t xml:space="preserve"> </w:t>
      </w:r>
      <w:r w:rsidR="00E911EE" w:rsidRPr="00F731BA">
        <w:rPr>
          <w:color w:val="000000" w:themeColor="text1"/>
        </w:rPr>
        <w:t xml:space="preserve">from </w:t>
      </w:r>
      <w:r w:rsidRPr="00F731BA">
        <w:rPr>
          <w:color w:val="000000" w:themeColor="text1"/>
        </w:rPr>
        <w:t xml:space="preserve">a binary-gendered athletics program. </w:t>
      </w:r>
      <w:r w:rsidR="00E911EE" w:rsidRPr="00F731BA">
        <w:rPr>
          <w:color w:val="000000" w:themeColor="text1"/>
        </w:rPr>
        <w:t>A</w:t>
      </w:r>
      <w:r w:rsidRPr="00F731BA">
        <w:rPr>
          <w:color w:val="000000" w:themeColor="text1"/>
        </w:rPr>
        <w:t xml:space="preserve"> child in the early years classroom </w:t>
      </w:r>
      <w:r w:rsidR="00E911EE" w:rsidRPr="00F731BA">
        <w:rPr>
          <w:color w:val="000000" w:themeColor="text1"/>
        </w:rPr>
        <w:t xml:space="preserve">may be </w:t>
      </w:r>
      <w:r w:rsidRPr="00F731BA">
        <w:rPr>
          <w:color w:val="000000" w:themeColor="text1"/>
        </w:rPr>
        <w:t xml:space="preserve">told that they are in the </w:t>
      </w:r>
      <w:r w:rsidR="00880FAD" w:rsidRPr="00F731BA">
        <w:rPr>
          <w:color w:val="000000" w:themeColor="text1"/>
        </w:rPr>
        <w:t>“</w:t>
      </w:r>
      <w:r w:rsidRPr="00F731BA">
        <w:rPr>
          <w:color w:val="000000" w:themeColor="text1"/>
        </w:rPr>
        <w:t>wrong place</w:t>
      </w:r>
      <w:r w:rsidR="00880FAD" w:rsidRPr="00F731BA">
        <w:rPr>
          <w:color w:val="000000" w:themeColor="text1"/>
        </w:rPr>
        <w:t>”</w:t>
      </w:r>
      <w:r w:rsidRPr="00F731BA">
        <w:rPr>
          <w:color w:val="000000" w:themeColor="text1"/>
        </w:rPr>
        <w:t xml:space="preserve"> due to information that other children or adults possess about that child’s assigned sex</w:t>
      </w:r>
      <w:r w:rsidR="00E911EE" w:rsidRPr="00F731BA">
        <w:rPr>
          <w:color w:val="000000" w:themeColor="text1"/>
        </w:rPr>
        <w:t xml:space="preserve">, but it is </w:t>
      </w:r>
      <w:r w:rsidRPr="00F731BA">
        <w:rPr>
          <w:color w:val="000000" w:themeColor="text1"/>
        </w:rPr>
        <w:t xml:space="preserve">harder to imagine that </w:t>
      </w:r>
      <w:r w:rsidR="00325102" w:rsidRPr="00F731BA">
        <w:rPr>
          <w:color w:val="000000" w:themeColor="text1"/>
        </w:rPr>
        <w:t>young</w:t>
      </w:r>
      <w:r w:rsidRPr="00F731BA">
        <w:rPr>
          <w:color w:val="000000" w:themeColor="text1"/>
        </w:rPr>
        <w:t xml:space="preserve"> child - who </w:t>
      </w:r>
      <w:r w:rsidRPr="00F731BA">
        <w:rPr>
          <w:i/>
          <w:color w:val="000000" w:themeColor="text1"/>
        </w:rPr>
        <w:t>may</w:t>
      </w:r>
      <w:r w:rsidRPr="00F731BA">
        <w:rPr>
          <w:color w:val="000000" w:themeColor="text1"/>
        </w:rPr>
        <w:t xml:space="preserve"> come to articulate themself as transgender in the coming years - definitively stating their gender identity such that it supersedes the assigned sex </w:t>
      </w:r>
      <w:r w:rsidRPr="00F731BA">
        <w:rPr>
          <w:i/>
          <w:color w:val="000000" w:themeColor="text1"/>
        </w:rPr>
        <w:t>qua</w:t>
      </w:r>
      <w:r w:rsidRPr="00F731BA">
        <w:rPr>
          <w:color w:val="000000" w:themeColor="text1"/>
        </w:rPr>
        <w:t xml:space="preserve"> gender information deployed to refuse their access.</w:t>
      </w:r>
      <w:r w:rsidR="00325102" w:rsidRPr="00F731BA">
        <w:rPr>
          <w:color w:val="000000" w:themeColor="text1"/>
        </w:rPr>
        <w:t xml:space="preserve"> </w:t>
      </w:r>
      <w:r w:rsidRPr="00F731BA">
        <w:rPr>
          <w:color w:val="000000" w:themeColor="text1"/>
        </w:rPr>
        <w:t xml:space="preserve">Put simply, a male-assigned child who is (passively or actively) dissuaded by ECEs from playing with </w:t>
      </w:r>
      <w:r w:rsidR="00880FAD" w:rsidRPr="00F731BA">
        <w:rPr>
          <w:color w:val="000000" w:themeColor="text1"/>
        </w:rPr>
        <w:t>“</w:t>
      </w:r>
      <w:r w:rsidRPr="00F731BA">
        <w:rPr>
          <w:color w:val="000000" w:themeColor="text1"/>
        </w:rPr>
        <w:t>the girl toys</w:t>
      </w:r>
      <w:r w:rsidR="00880FAD" w:rsidRPr="00F731BA">
        <w:rPr>
          <w:color w:val="000000" w:themeColor="text1"/>
        </w:rPr>
        <w:t>”</w:t>
      </w:r>
      <w:r w:rsidRPr="00F731BA">
        <w:rPr>
          <w:color w:val="000000" w:themeColor="text1"/>
        </w:rPr>
        <w:t xml:space="preserve"> may register a welling-up that any adult would narrate as a feeling of invalidation, but not link this welling-up to their </w:t>
      </w:r>
      <w:r w:rsidR="00880FAD" w:rsidRPr="00F731BA">
        <w:rPr>
          <w:color w:val="000000" w:themeColor="text1"/>
        </w:rPr>
        <w:t>“</w:t>
      </w:r>
      <w:r w:rsidRPr="00F731BA">
        <w:rPr>
          <w:color w:val="000000" w:themeColor="text1"/>
        </w:rPr>
        <w:t>sense of being a woman, a man, both, neither, or anywhere along the gender spectrum</w:t>
      </w:r>
      <w:r w:rsidR="00880FAD" w:rsidRPr="00F731BA">
        <w:rPr>
          <w:color w:val="000000" w:themeColor="text1"/>
        </w:rPr>
        <w:t>”</w:t>
      </w:r>
      <w:r w:rsidR="005557C1" w:rsidRPr="00F731BA">
        <w:rPr>
          <w:color w:val="000000" w:themeColor="text1"/>
        </w:rPr>
        <w:t xml:space="preserve"> </w:t>
      </w:r>
      <w:r w:rsidRPr="00F731BA">
        <w:rPr>
          <w:color w:val="000000" w:themeColor="text1"/>
        </w:rPr>
        <w:t>(OHRC</w:t>
      </w:r>
      <w:r w:rsidR="002606E6" w:rsidRPr="00F731BA">
        <w:rPr>
          <w:color w:val="000000" w:themeColor="text1"/>
        </w:rPr>
        <w:t>,</w:t>
      </w:r>
      <w:r w:rsidRPr="00F731BA">
        <w:rPr>
          <w:color w:val="000000" w:themeColor="text1"/>
        </w:rPr>
        <w:t xml:space="preserve"> 2014</w:t>
      </w:r>
      <w:r w:rsidR="00B40346" w:rsidRPr="00F731BA">
        <w:rPr>
          <w:color w:val="000000" w:themeColor="text1"/>
        </w:rPr>
        <w:t>:</w:t>
      </w:r>
      <w:r w:rsidRPr="00F731BA">
        <w:rPr>
          <w:color w:val="000000" w:themeColor="text1"/>
        </w:rPr>
        <w:t xml:space="preserve"> n.p.). If gender </w:t>
      </w:r>
      <w:r w:rsidRPr="00F731BA">
        <w:rPr>
          <w:i/>
          <w:color w:val="000000" w:themeColor="text1"/>
        </w:rPr>
        <w:t>identity</w:t>
      </w:r>
      <w:r w:rsidRPr="00F731BA">
        <w:rPr>
          <w:color w:val="000000" w:themeColor="text1"/>
        </w:rPr>
        <w:t xml:space="preserve"> discrimination means being told, in some way, that one is not who one is, but one is not yet able to clearly articulate their gender identity in a way that proximal adults will understand and respect, it is difficult to imagine how early years educators might prevent gender </w:t>
      </w:r>
      <w:r w:rsidRPr="00F731BA">
        <w:rPr>
          <w:i/>
          <w:color w:val="000000" w:themeColor="text1"/>
        </w:rPr>
        <w:t>identity</w:t>
      </w:r>
      <w:r w:rsidRPr="00F731BA">
        <w:rPr>
          <w:color w:val="000000" w:themeColor="text1"/>
        </w:rPr>
        <w:t xml:space="preserve"> discrimination in their classrooms.</w:t>
      </w:r>
      <w:r w:rsidRPr="00F731BA">
        <w:rPr>
          <w:color w:val="000000" w:themeColor="text1"/>
          <w:vertAlign w:val="superscript"/>
        </w:rPr>
        <w:footnoteReference w:id="1"/>
      </w:r>
    </w:p>
    <w:p w14:paraId="10DC5BBA" w14:textId="5526D607" w:rsidR="000E03BE" w:rsidRPr="00F731BA" w:rsidRDefault="000E03BE" w:rsidP="00B627E0">
      <w:pPr>
        <w:widowControl w:val="0"/>
        <w:spacing w:line="240" w:lineRule="auto"/>
        <w:ind w:firstLine="720"/>
        <w:rPr>
          <w:color w:val="000000" w:themeColor="text1"/>
        </w:rPr>
      </w:pPr>
      <w:r w:rsidRPr="00F731BA">
        <w:rPr>
          <w:color w:val="000000" w:themeColor="text1"/>
        </w:rPr>
        <w:t xml:space="preserve">It is much easier to imagine gender identity affirmation in this context. Interpersonally, this aspect could look like </w:t>
      </w:r>
      <w:r w:rsidR="00B627E0" w:rsidRPr="00F731BA">
        <w:rPr>
          <w:color w:val="000000" w:themeColor="text1"/>
        </w:rPr>
        <w:t>ECEs</w:t>
      </w:r>
      <w:r w:rsidRPr="00F731BA">
        <w:rPr>
          <w:color w:val="000000" w:themeColor="text1"/>
        </w:rPr>
        <w:t xml:space="preserve"> affirming whatever gendered information a</w:t>
      </w:r>
      <w:r w:rsidR="00FD5D09" w:rsidRPr="00F731BA">
        <w:rPr>
          <w:color w:val="000000" w:themeColor="text1"/>
        </w:rPr>
        <w:t>ny</w:t>
      </w:r>
      <w:r w:rsidRPr="00F731BA">
        <w:rPr>
          <w:color w:val="000000" w:themeColor="text1"/>
        </w:rPr>
        <w:t xml:space="preserve"> child shares with them (see Stafford 2013 for examples), even if what is shared changes, or if there is no other gender non-conforming </w:t>
      </w:r>
      <w:r w:rsidR="00F72750" w:rsidRPr="00F731BA">
        <w:rPr>
          <w:color w:val="000000" w:themeColor="text1"/>
        </w:rPr>
        <w:t>indication</w:t>
      </w:r>
      <w:r w:rsidRPr="00F731BA">
        <w:rPr>
          <w:color w:val="000000" w:themeColor="text1"/>
        </w:rPr>
        <w:t xml:space="preserve">. This gendered information may include a desire to be referred to by a name, pronoun or term misaligned with </w:t>
      </w:r>
      <w:r w:rsidR="00FD5D09" w:rsidRPr="00F731BA">
        <w:rPr>
          <w:color w:val="000000" w:themeColor="text1"/>
        </w:rPr>
        <w:t xml:space="preserve">assigned </w:t>
      </w:r>
      <w:r w:rsidRPr="00F731BA">
        <w:rPr>
          <w:color w:val="000000" w:themeColor="text1"/>
        </w:rPr>
        <w:t xml:space="preserve">expectations. Institutional gender identity affirmation could look like removing structures or routines that involve the </w:t>
      </w:r>
      <w:r w:rsidR="00880FAD" w:rsidRPr="00F731BA">
        <w:rPr>
          <w:color w:val="000000" w:themeColor="text1"/>
        </w:rPr>
        <w:t>“</w:t>
      </w:r>
      <w:r w:rsidRPr="00F731BA">
        <w:rPr>
          <w:color w:val="000000" w:themeColor="text1"/>
        </w:rPr>
        <w:t>gender-based</w:t>
      </w:r>
      <w:r w:rsidR="00880FAD" w:rsidRPr="00F731BA">
        <w:rPr>
          <w:color w:val="000000" w:themeColor="text1"/>
        </w:rPr>
        <w:t>”</w:t>
      </w:r>
      <w:r w:rsidRPr="00F731BA">
        <w:rPr>
          <w:color w:val="000000" w:themeColor="text1"/>
        </w:rPr>
        <w:t xml:space="preserve"> division of children (e.g., </w:t>
      </w:r>
      <w:r w:rsidR="00880FAD" w:rsidRPr="00F731BA">
        <w:rPr>
          <w:color w:val="000000" w:themeColor="text1"/>
        </w:rPr>
        <w:t>“</w:t>
      </w:r>
      <w:r w:rsidRPr="00F731BA">
        <w:rPr>
          <w:color w:val="000000" w:themeColor="text1"/>
        </w:rPr>
        <w:t xml:space="preserve">if you are a boy wearing green </w:t>
      </w:r>
      <w:r w:rsidR="00FD5D09" w:rsidRPr="00F731BA">
        <w:rPr>
          <w:color w:val="000000" w:themeColor="text1"/>
        </w:rPr>
        <w:t>come get snack</w:t>
      </w:r>
      <w:r w:rsidRPr="00F731BA">
        <w:rPr>
          <w:color w:val="000000" w:themeColor="text1"/>
        </w:rPr>
        <w:t>,</w:t>
      </w:r>
      <w:r w:rsidR="00880FAD" w:rsidRPr="00F731BA">
        <w:rPr>
          <w:color w:val="000000" w:themeColor="text1"/>
        </w:rPr>
        <w:t>”</w:t>
      </w:r>
      <w:r w:rsidRPr="00F731BA">
        <w:rPr>
          <w:color w:val="000000" w:themeColor="text1"/>
        </w:rPr>
        <w:t xml:space="preserve"> etc.).</w:t>
      </w:r>
      <w:r w:rsidRPr="00F731BA">
        <w:rPr>
          <w:rStyle w:val="FootnoteReference"/>
          <w:color w:val="000000" w:themeColor="text1"/>
        </w:rPr>
        <w:footnoteReference w:id="2"/>
      </w:r>
      <w:r w:rsidRPr="00F731BA">
        <w:rPr>
          <w:color w:val="000000" w:themeColor="text1"/>
        </w:rPr>
        <w:t xml:space="preserve"> Notice, however, that this is indistinguishable from preventing institutional gender expression discrimination, as described above. Arguably, then, gender identity affirmation pertains to </w:t>
      </w:r>
      <w:r w:rsidR="007372AE" w:rsidRPr="00F731BA">
        <w:rPr>
          <w:color w:val="000000" w:themeColor="text1"/>
        </w:rPr>
        <w:t xml:space="preserve">ECE </w:t>
      </w:r>
      <w:r w:rsidRPr="00F731BA">
        <w:rPr>
          <w:color w:val="000000" w:themeColor="text1"/>
        </w:rPr>
        <w:t>motivation</w:t>
      </w:r>
      <w:r w:rsidR="007372AE" w:rsidRPr="00F731BA">
        <w:rPr>
          <w:color w:val="000000" w:themeColor="text1"/>
        </w:rPr>
        <w:t xml:space="preserve"> for taking action</w:t>
      </w:r>
      <w:r w:rsidRPr="00F731BA">
        <w:rPr>
          <w:color w:val="000000" w:themeColor="text1"/>
        </w:rPr>
        <w:t xml:space="preserve">; it is a practice of developing structures which sustain the possibility that any child here could be transgender. After all, children who are transgender may not articulate this until long after they </w:t>
      </w:r>
      <w:r w:rsidR="00635248" w:rsidRPr="00F731BA">
        <w:rPr>
          <w:color w:val="000000" w:themeColor="text1"/>
        </w:rPr>
        <w:t>leave</w:t>
      </w:r>
      <w:r w:rsidRPr="00F731BA">
        <w:rPr>
          <w:color w:val="000000" w:themeColor="text1"/>
        </w:rPr>
        <w:t xml:space="preserve"> e</w:t>
      </w:r>
      <w:r w:rsidR="00EA2C9E" w:rsidRPr="00F731BA">
        <w:rPr>
          <w:color w:val="000000" w:themeColor="text1"/>
        </w:rPr>
        <w:t xml:space="preserve">arly years </w:t>
      </w:r>
      <w:r w:rsidRPr="00F731BA">
        <w:rPr>
          <w:color w:val="000000" w:themeColor="text1"/>
        </w:rPr>
        <w:t>centre</w:t>
      </w:r>
      <w:r w:rsidR="00635248" w:rsidRPr="00F731BA">
        <w:rPr>
          <w:color w:val="000000" w:themeColor="text1"/>
        </w:rPr>
        <w:t>s</w:t>
      </w:r>
      <w:r w:rsidRPr="00F731BA">
        <w:rPr>
          <w:color w:val="000000" w:themeColor="text1"/>
        </w:rPr>
        <w:t xml:space="preserve">. This reality has </w:t>
      </w:r>
      <w:r w:rsidR="008C777C" w:rsidRPr="00F731BA">
        <w:rPr>
          <w:color w:val="000000" w:themeColor="text1"/>
        </w:rPr>
        <w:t>spawned</w:t>
      </w:r>
      <w:r w:rsidRPr="00F731BA">
        <w:rPr>
          <w:color w:val="000000" w:themeColor="text1"/>
        </w:rPr>
        <w:t xml:space="preserve"> two fairly synonymous adjectives: </w:t>
      </w:r>
      <w:r w:rsidR="00880FAD" w:rsidRPr="00F731BA">
        <w:rPr>
          <w:color w:val="000000" w:themeColor="text1"/>
        </w:rPr>
        <w:t>“</w:t>
      </w:r>
      <w:r w:rsidRPr="00F731BA">
        <w:rPr>
          <w:color w:val="000000" w:themeColor="text1"/>
        </w:rPr>
        <w:t>gender-creative</w:t>
      </w:r>
      <w:r w:rsidR="00880FAD" w:rsidRPr="00F731BA">
        <w:rPr>
          <w:color w:val="000000" w:themeColor="text1"/>
        </w:rPr>
        <w:t>”</w:t>
      </w:r>
      <w:r w:rsidRPr="00F731BA">
        <w:rPr>
          <w:color w:val="000000" w:themeColor="text1"/>
        </w:rPr>
        <w:t xml:space="preserve"> (see Ehrensaft</w:t>
      </w:r>
      <w:r w:rsidR="00635248" w:rsidRPr="00F731BA">
        <w:rPr>
          <w:color w:val="000000" w:themeColor="text1"/>
        </w:rPr>
        <w:t>,</w:t>
      </w:r>
      <w:r w:rsidRPr="00F731BA">
        <w:rPr>
          <w:color w:val="000000" w:themeColor="text1"/>
        </w:rPr>
        <w:t xml:space="preserve"> 2016; </w:t>
      </w:r>
      <w:r w:rsidRPr="00F731BA">
        <w:rPr>
          <w:color w:val="000000" w:themeColor="text1"/>
          <w:highlight w:val="white"/>
        </w:rPr>
        <w:t xml:space="preserve">Meyer </w:t>
      </w:r>
      <w:r w:rsidR="00E403FE" w:rsidRPr="00F731BA">
        <w:rPr>
          <w:color w:val="000000" w:themeColor="text1"/>
          <w:highlight w:val="white"/>
        </w:rPr>
        <w:t>and</w:t>
      </w:r>
      <w:r w:rsidR="00635248" w:rsidRPr="00F731BA">
        <w:rPr>
          <w:color w:val="000000" w:themeColor="text1"/>
          <w:highlight w:val="white"/>
        </w:rPr>
        <w:t xml:space="preserve"> </w:t>
      </w:r>
      <w:r w:rsidRPr="00F731BA">
        <w:rPr>
          <w:color w:val="000000" w:themeColor="text1"/>
          <w:highlight w:val="white"/>
        </w:rPr>
        <w:t>Pullen Sansfaçon</w:t>
      </w:r>
      <w:r w:rsidR="00635248" w:rsidRPr="00F731BA">
        <w:rPr>
          <w:color w:val="000000" w:themeColor="text1"/>
          <w:highlight w:val="white"/>
        </w:rPr>
        <w:t>,</w:t>
      </w:r>
      <w:r w:rsidRPr="00F731BA">
        <w:rPr>
          <w:color w:val="000000" w:themeColor="text1"/>
          <w:highlight w:val="white"/>
        </w:rPr>
        <w:t xml:space="preserve"> 2018) </w:t>
      </w:r>
      <w:r w:rsidRPr="00F731BA">
        <w:rPr>
          <w:color w:val="000000" w:themeColor="text1"/>
        </w:rPr>
        <w:t xml:space="preserve">and </w:t>
      </w:r>
      <w:r w:rsidR="00880FAD" w:rsidRPr="00F731BA">
        <w:rPr>
          <w:color w:val="000000" w:themeColor="text1"/>
        </w:rPr>
        <w:t>“</w:t>
      </w:r>
      <w:r w:rsidRPr="00F731BA">
        <w:rPr>
          <w:color w:val="000000" w:themeColor="text1"/>
        </w:rPr>
        <w:t>gender independent</w:t>
      </w:r>
      <w:r w:rsidR="00880FAD" w:rsidRPr="00F731BA">
        <w:rPr>
          <w:color w:val="000000" w:themeColor="text1"/>
        </w:rPr>
        <w:t>”</w:t>
      </w:r>
      <w:r w:rsidRPr="00F731BA">
        <w:rPr>
          <w:color w:val="000000" w:themeColor="text1"/>
        </w:rPr>
        <w:t xml:space="preserve"> (see Pyne</w:t>
      </w:r>
      <w:r w:rsidR="002606E6" w:rsidRPr="00F731BA">
        <w:rPr>
          <w:color w:val="000000" w:themeColor="text1"/>
        </w:rPr>
        <w:t>,</w:t>
      </w:r>
      <w:r w:rsidRPr="00F731BA">
        <w:rPr>
          <w:color w:val="000000" w:themeColor="text1"/>
        </w:rPr>
        <w:t xml:space="preserve"> 2014). Gender-creative and/or gender independent children may be </w:t>
      </w:r>
      <w:r w:rsidR="00880FAD" w:rsidRPr="00F731BA">
        <w:rPr>
          <w:color w:val="000000" w:themeColor="text1"/>
        </w:rPr>
        <w:t>“</w:t>
      </w:r>
      <w:r w:rsidRPr="00F731BA">
        <w:rPr>
          <w:color w:val="000000" w:themeColor="text1"/>
        </w:rPr>
        <w:t>comfortable with their natal sex, yet…challenge us to expand the boundaries of gender’s well-worn categories</w:t>
      </w:r>
      <w:r w:rsidR="00880FAD" w:rsidRPr="00F731BA">
        <w:rPr>
          <w:color w:val="000000" w:themeColor="text1"/>
        </w:rPr>
        <w:t>”</w:t>
      </w:r>
      <w:r w:rsidRPr="00F731BA">
        <w:rPr>
          <w:color w:val="000000" w:themeColor="text1"/>
        </w:rPr>
        <w:t xml:space="preserve"> (</w:t>
      </w:r>
      <w:r w:rsidR="00D20E7A" w:rsidRPr="00F731BA">
        <w:rPr>
          <w:color w:val="000000" w:themeColor="text1"/>
        </w:rPr>
        <w:t xml:space="preserve">p. </w:t>
      </w:r>
      <w:r w:rsidRPr="00F731BA">
        <w:rPr>
          <w:color w:val="000000" w:themeColor="text1"/>
        </w:rPr>
        <w:t xml:space="preserve">1), may </w:t>
      </w:r>
      <w:r w:rsidR="00DF68D2" w:rsidRPr="00F731BA">
        <w:rPr>
          <w:color w:val="000000" w:themeColor="text1"/>
        </w:rPr>
        <w:t>“</w:t>
      </w:r>
      <w:r w:rsidRPr="00F731BA">
        <w:rPr>
          <w:color w:val="000000" w:themeColor="text1"/>
        </w:rPr>
        <w:t xml:space="preserve">reject the terms of </w:t>
      </w:r>
      <w:r w:rsidR="00DF68D2" w:rsidRPr="00F731BA">
        <w:rPr>
          <w:color w:val="000000" w:themeColor="text1"/>
        </w:rPr>
        <w:t>‘</w:t>
      </w:r>
      <w:r w:rsidRPr="00F731BA">
        <w:rPr>
          <w:color w:val="000000" w:themeColor="text1"/>
        </w:rPr>
        <w:t>boy</w:t>
      </w:r>
      <w:r w:rsidR="00DF68D2" w:rsidRPr="00F731BA">
        <w:rPr>
          <w:color w:val="000000" w:themeColor="text1"/>
        </w:rPr>
        <w:t>’</w:t>
      </w:r>
      <w:r w:rsidRPr="00F731BA">
        <w:rPr>
          <w:color w:val="000000" w:themeColor="text1"/>
        </w:rPr>
        <w:t xml:space="preserve"> or </w:t>
      </w:r>
      <w:r w:rsidR="00DF68D2" w:rsidRPr="00F731BA">
        <w:rPr>
          <w:color w:val="000000" w:themeColor="text1"/>
        </w:rPr>
        <w:t>‘</w:t>
      </w:r>
      <w:r w:rsidRPr="00F731BA">
        <w:rPr>
          <w:color w:val="000000" w:themeColor="text1"/>
        </w:rPr>
        <w:t>girl</w:t>
      </w:r>
      <w:r w:rsidR="00DF68D2" w:rsidRPr="00F731BA">
        <w:rPr>
          <w:color w:val="000000" w:themeColor="text1"/>
        </w:rPr>
        <w:t>’</w:t>
      </w:r>
      <w:r w:rsidRPr="00F731BA">
        <w:rPr>
          <w:color w:val="000000" w:themeColor="text1"/>
        </w:rPr>
        <w:t xml:space="preserve"> altogether</w:t>
      </w:r>
      <w:r w:rsidR="00DF68D2" w:rsidRPr="00F731BA">
        <w:rPr>
          <w:color w:val="000000" w:themeColor="text1"/>
        </w:rPr>
        <w:t>”</w:t>
      </w:r>
      <w:r w:rsidRPr="00F731BA">
        <w:rPr>
          <w:color w:val="000000" w:themeColor="text1"/>
        </w:rPr>
        <w:t xml:space="preserve"> (ibid.), or may </w:t>
      </w:r>
      <w:r w:rsidR="00880FAD" w:rsidRPr="00F731BA">
        <w:rPr>
          <w:color w:val="000000" w:themeColor="text1"/>
        </w:rPr>
        <w:t>“</w:t>
      </w:r>
      <w:r w:rsidRPr="00F731BA">
        <w:rPr>
          <w:color w:val="000000" w:themeColor="text1"/>
        </w:rPr>
        <w:t>clearly and consistently identify with a different gender than expected</w:t>
      </w:r>
      <w:r w:rsidR="00880FAD" w:rsidRPr="00F731BA">
        <w:rPr>
          <w:color w:val="000000" w:themeColor="text1"/>
        </w:rPr>
        <w:t>”</w:t>
      </w:r>
      <w:r w:rsidRPr="00F731BA">
        <w:rPr>
          <w:color w:val="000000" w:themeColor="text1"/>
        </w:rPr>
        <w:t xml:space="preserve"> (</w:t>
      </w:r>
      <w:r w:rsidR="00D20E7A" w:rsidRPr="00F731BA">
        <w:rPr>
          <w:color w:val="000000" w:themeColor="text1"/>
        </w:rPr>
        <w:t xml:space="preserve">p. </w:t>
      </w:r>
      <w:r w:rsidRPr="00F731BA">
        <w:rPr>
          <w:color w:val="000000" w:themeColor="text1"/>
        </w:rPr>
        <w:t>2). These terms hold space for children - including very young children - who do not live gender according to others’ expectations, but may not articulate themself (</w:t>
      </w:r>
      <w:r w:rsidR="00906F83" w:rsidRPr="00F731BA">
        <w:rPr>
          <w:color w:val="000000" w:themeColor="text1"/>
        </w:rPr>
        <w:t>now or later</w:t>
      </w:r>
      <w:r w:rsidRPr="00F731BA">
        <w:rPr>
          <w:color w:val="000000" w:themeColor="text1"/>
        </w:rPr>
        <w:t xml:space="preserve">) </w:t>
      </w:r>
      <w:r w:rsidR="00906F83" w:rsidRPr="00F731BA">
        <w:rPr>
          <w:color w:val="000000" w:themeColor="text1"/>
        </w:rPr>
        <w:t>as</w:t>
      </w:r>
      <w:r w:rsidRPr="00F731BA">
        <w:rPr>
          <w:color w:val="000000" w:themeColor="text1"/>
        </w:rPr>
        <w:t xml:space="preserve"> transgender.</w:t>
      </w:r>
    </w:p>
    <w:p w14:paraId="537C6DBE" w14:textId="5064E025" w:rsidR="000E03BE" w:rsidRPr="00F731BA" w:rsidRDefault="00C906D6" w:rsidP="00B627E0">
      <w:pPr>
        <w:widowControl w:val="0"/>
        <w:spacing w:line="240" w:lineRule="auto"/>
        <w:ind w:firstLine="720"/>
        <w:rPr>
          <w:color w:val="000000" w:themeColor="text1"/>
        </w:rPr>
      </w:pPr>
      <w:r w:rsidRPr="00F731BA">
        <w:rPr>
          <w:color w:val="000000" w:themeColor="text1"/>
        </w:rPr>
        <w:t>I</w:t>
      </w:r>
      <w:r w:rsidR="000E03BE" w:rsidRPr="00F731BA">
        <w:rPr>
          <w:color w:val="000000" w:themeColor="text1"/>
        </w:rPr>
        <w:t>n line with our rendering of a gender-expansive practice, research has shown that gender identity affirmation within and outside of the family is associated with better mental health outcomes (Hill</w:t>
      </w:r>
      <w:r w:rsidR="00177DBA" w:rsidRPr="00F731BA">
        <w:rPr>
          <w:color w:val="000000" w:themeColor="text1"/>
        </w:rPr>
        <w:t xml:space="preserve"> et al.</w:t>
      </w:r>
      <w:r w:rsidR="000757F0" w:rsidRPr="00F731BA">
        <w:rPr>
          <w:color w:val="000000" w:themeColor="text1"/>
        </w:rPr>
        <w:t>,</w:t>
      </w:r>
      <w:r w:rsidR="000E03BE" w:rsidRPr="00F731BA">
        <w:rPr>
          <w:color w:val="000000" w:themeColor="text1"/>
        </w:rPr>
        <w:t xml:space="preserve"> 2010; Olson</w:t>
      </w:r>
      <w:r w:rsidR="00177DBA" w:rsidRPr="00F731BA">
        <w:rPr>
          <w:color w:val="000000" w:themeColor="text1"/>
        </w:rPr>
        <w:t xml:space="preserve"> et al.</w:t>
      </w:r>
      <w:r w:rsidR="000757F0" w:rsidRPr="00F731BA">
        <w:rPr>
          <w:color w:val="000000" w:themeColor="text1"/>
        </w:rPr>
        <w:t>,</w:t>
      </w:r>
      <w:r w:rsidR="00177DBA" w:rsidRPr="00F731BA">
        <w:rPr>
          <w:color w:val="000000" w:themeColor="text1"/>
        </w:rPr>
        <w:t xml:space="preserve"> </w:t>
      </w:r>
      <w:r w:rsidR="000E03BE" w:rsidRPr="00F731BA">
        <w:rPr>
          <w:color w:val="000000" w:themeColor="text1"/>
        </w:rPr>
        <w:t>2016; Turban</w:t>
      </w:r>
      <w:r w:rsidR="00E403FE" w:rsidRPr="00F731BA">
        <w:rPr>
          <w:color w:val="000000" w:themeColor="text1"/>
        </w:rPr>
        <w:t xml:space="preserve"> and </w:t>
      </w:r>
      <w:r w:rsidR="000E03BE" w:rsidRPr="00F731BA">
        <w:rPr>
          <w:color w:val="000000" w:themeColor="text1"/>
        </w:rPr>
        <w:t>Ehrensaft</w:t>
      </w:r>
      <w:r w:rsidR="002606E6" w:rsidRPr="00F731BA">
        <w:rPr>
          <w:color w:val="000000" w:themeColor="text1"/>
        </w:rPr>
        <w:t>,</w:t>
      </w:r>
      <w:r w:rsidR="000E03BE" w:rsidRPr="00F731BA">
        <w:rPr>
          <w:color w:val="000000" w:themeColor="text1"/>
        </w:rPr>
        <w:t xml:space="preserve"> 2016)</w:t>
      </w:r>
      <w:r w:rsidR="00635248" w:rsidRPr="00F731BA">
        <w:rPr>
          <w:color w:val="000000" w:themeColor="text1"/>
        </w:rPr>
        <w:t xml:space="preserve">. </w:t>
      </w:r>
      <w:r w:rsidR="000E03BE" w:rsidRPr="00F731BA">
        <w:rPr>
          <w:color w:val="000000" w:themeColor="text1"/>
        </w:rPr>
        <w:t>To this end, the</w:t>
      </w:r>
      <w:r w:rsidR="0087344F" w:rsidRPr="00F731BA">
        <w:rPr>
          <w:color w:val="000000" w:themeColor="text1"/>
        </w:rPr>
        <w:t xml:space="preserve"> </w:t>
      </w:r>
      <w:r w:rsidR="000E03BE" w:rsidRPr="00F731BA">
        <w:rPr>
          <w:color w:val="000000" w:themeColor="text1"/>
        </w:rPr>
        <w:t xml:space="preserve">paediatric profession (at least in Canada) affirms the validity of </w:t>
      </w:r>
      <w:r w:rsidR="000E03BE" w:rsidRPr="00F731BA">
        <w:rPr>
          <w:iCs/>
          <w:color w:val="000000" w:themeColor="text1"/>
        </w:rPr>
        <w:t xml:space="preserve">all </w:t>
      </w:r>
      <w:r w:rsidR="000E03BE" w:rsidRPr="00F731BA">
        <w:rPr>
          <w:color w:val="000000" w:themeColor="text1"/>
        </w:rPr>
        <w:t xml:space="preserve">children’s gender identities and gender expressions regardless of whether these align with caregiver </w:t>
      </w:r>
      <w:r w:rsidR="000E03BE" w:rsidRPr="00F731BA">
        <w:rPr>
          <w:color w:val="000000" w:themeColor="text1"/>
        </w:rPr>
        <w:lastRenderedPageBreak/>
        <w:t>expectations or wishes (Canadian Paediatric Society</w:t>
      </w:r>
      <w:r w:rsidR="0087344F" w:rsidRPr="00F731BA">
        <w:rPr>
          <w:color w:val="000000" w:themeColor="text1"/>
        </w:rPr>
        <w:t>,</w:t>
      </w:r>
      <w:r w:rsidR="000E03BE" w:rsidRPr="00F731BA">
        <w:rPr>
          <w:color w:val="000000" w:themeColor="text1"/>
        </w:rPr>
        <w:t xml:space="preserve"> 2020). By age three, most children can identify themselves as </w:t>
      </w:r>
      <w:r w:rsidR="00880FAD" w:rsidRPr="00F731BA">
        <w:rPr>
          <w:color w:val="000000" w:themeColor="text1"/>
        </w:rPr>
        <w:t>“</w:t>
      </w:r>
      <w:r w:rsidR="000E03BE" w:rsidRPr="00F731BA">
        <w:rPr>
          <w:color w:val="000000" w:themeColor="text1"/>
        </w:rPr>
        <w:t>a girl</w:t>
      </w:r>
      <w:r w:rsidR="00880FAD" w:rsidRPr="00F731BA">
        <w:rPr>
          <w:color w:val="000000" w:themeColor="text1"/>
        </w:rPr>
        <w:t>”</w:t>
      </w:r>
      <w:r w:rsidR="000E03BE" w:rsidRPr="00F731BA">
        <w:rPr>
          <w:color w:val="000000" w:themeColor="text1"/>
        </w:rPr>
        <w:t xml:space="preserve"> or </w:t>
      </w:r>
      <w:r w:rsidR="00880FAD" w:rsidRPr="00F731BA">
        <w:rPr>
          <w:color w:val="000000" w:themeColor="text1"/>
        </w:rPr>
        <w:t>“</w:t>
      </w:r>
      <w:r w:rsidR="000E03BE" w:rsidRPr="00F731BA">
        <w:rPr>
          <w:color w:val="000000" w:themeColor="text1"/>
        </w:rPr>
        <w:t>a boy,</w:t>
      </w:r>
      <w:r w:rsidR="00880FAD" w:rsidRPr="00F731BA">
        <w:rPr>
          <w:color w:val="000000" w:themeColor="text1"/>
        </w:rPr>
        <w:t>”</w:t>
      </w:r>
      <w:r w:rsidR="000E03BE" w:rsidRPr="00F731BA">
        <w:rPr>
          <w:color w:val="000000" w:themeColor="text1"/>
        </w:rPr>
        <w:t xml:space="preserve"> which has been shown to also hold true for children whose gender identities are not the ones expected by their caregivers (Olson</w:t>
      </w:r>
      <w:r w:rsidR="00E403FE" w:rsidRPr="00F731BA">
        <w:rPr>
          <w:color w:val="000000" w:themeColor="text1"/>
        </w:rPr>
        <w:t xml:space="preserve"> et al., </w:t>
      </w:r>
      <w:r w:rsidR="000E03BE" w:rsidRPr="00F731BA">
        <w:rPr>
          <w:color w:val="000000" w:themeColor="text1"/>
        </w:rPr>
        <w:t xml:space="preserve">2015). That said, the Canadian Paediatric Society (2020) considers a fluid early childhood gender identity to be a variation of normal, and not in any way pathological: </w:t>
      </w:r>
      <w:r w:rsidR="00DF68D2" w:rsidRPr="00F731BA">
        <w:rPr>
          <w:color w:val="000000" w:themeColor="text1"/>
        </w:rPr>
        <w:t>“</w:t>
      </w:r>
      <w:r w:rsidR="000E03BE" w:rsidRPr="00F731BA">
        <w:rPr>
          <w:color w:val="000000" w:themeColor="text1"/>
        </w:rPr>
        <w:t xml:space="preserve">[some children] may alternate between identifying themselves as </w:t>
      </w:r>
      <w:r w:rsidR="00DF68D2" w:rsidRPr="00F731BA">
        <w:rPr>
          <w:color w:val="000000" w:themeColor="text1"/>
        </w:rPr>
        <w:t>‘</w:t>
      </w:r>
      <w:r w:rsidR="000E03BE" w:rsidRPr="00F731BA">
        <w:rPr>
          <w:color w:val="000000" w:themeColor="text1"/>
        </w:rPr>
        <w:t>boy</w:t>
      </w:r>
      <w:r w:rsidR="00DF68D2" w:rsidRPr="00F731BA">
        <w:rPr>
          <w:color w:val="000000" w:themeColor="text1"/>
        </w:rPr>
        <w:t>’</w:t>
      </w:r>
      <w:r w:rsidR="000E03BE" w:rsidRPr="00F731BA">
        <w:rPr>
          <w:color w:val="000000" w:themeColor="text1"/>
        </w:rPr>
        <w:t xml:space="preserve"> or </w:t>
      </w:r>
      <w:r w:rsidR="00DF68D2" w:rsidRPr="00F731BA">
        <w:rPr>
          <w:color w:val="000000" w:themeColor="text1"/>
        </w:rPr>
        <w:t>‘</w:t>
      </w:r>
      <w:r w:rsidR="000E03BE" w:rsidRPr="00F731BA">
        <w:rPr>
          <w:color w:val="000000" w:themeColor="text1"/>
        </w:rPr>
        <w:t>girl</w:t>
      </w:r>
      <w:r w:rsidR="00DF68D2" w:rsidRPr="00F731BA">
        <w:rPr>
          <w:color w:val="000000" w:themeColor="text1"/>
        </w:rPr>
        <w:t>’</w:t>
      </w:r>
      <w:r w:rsidR="000E03BE" w:rsidRPr="00F731BA">
        <w:rPr>
          <w:color w:val="000000" w:themeColor="text1"/>
        </w:rPr>
        <w:t>, or even assume other gender identities at different times (sometimes even in the same day). This is normal and healthy</w:t>
      </w:r>
      <w:r w:rsidR="00DF68D2" w:rsidRPr="00F731BA">
        <w:rPr>
          <w:color w:val="000000" w:themeColor="text1"/>
        </w:rPr>
        <w:t>”</w:t>
      </w:r>
      <w:r w:rsidR="000E03BE" w:rsidRPr="00F731BA">
        <w:rPr>
          <w:color w:val="000000" w:themeColor="text1"/>
        </w:rPr>
        <w:t xml:space="preserve"> (n.p.). </w:t>
      </w:r>
    </w:p>
    <w:p w14:paraId="678AE69E" w14:textId="18995836" w:rsidR="000E03BE" w:rsidRPr="00F731BA" w:rsidRDefault="000E03BE" w:rsidP="00B627E0">
      <w:pPr>
        <w:widowControl w:val="0"/>
        <w:spacing w:line="240" w:lineRule="auto"/>
        <w:ind w:firstLine="720"/>
        <w:rPr>
          <w:color w:val="000000" w:themeColor="text1"/>
        </w:rPr>
      </w:pPr>
      <w:r w:rsidRPr="00F731BA">
        <w:rPr>
          <w:color w:val="000000" w:themeColor="text1"/>
        </w:rPr>
        <w:t xml:space="preserve">Awareness of gender expectations, including as a source of power and prestige, is common by age five. As children begin to register the impact of gender on their reception by and relationships with others, some stridently embrace </w:t>
      </w:r>
      <w:r w:rsidRPr="00F731BA">
        <w:rPr>
          <w:i/>
          <w:color w:val="000000" w:themeColor="text1"/>
        </w:rPr>
        <w:t>or</w:t>
      </w:r>
      <w:r w:rsidRPr="00F731BA">
        <w:rPr>
          <w:color w:val="000000" w:themeColor="text1"/>
        </w:rPr>
        <w:t xml:space="preserve"> reject rigid gender expectations: for example, a girl going </w:t>
      </w:r>
      <w:r w:rsidR="00880FAD" w:rsidRPr="00F731BA">
        <w:rPr>
          <w:color w:val="000000" w:themeColor="text1"/>
        </w:rPr>
        <w:t>“</w:t>
      </w:r>
      <w:r w:rsidRPr="00F731BA">
        <w:rPr>
          <w:color w:val="000000" w:themeColor="text1"/>
        </w:rPr>
        <w:t xml:space="preserve">through a stage of insisting on wearing a dress every day, </w:t>
      </w:r>
      <w:r w:rsidRPr="00F731BA">
        <w:rPr>
          <w:iCs/>
          <w:color w:val="000000" w:themeColor="text1"/>
        </w:rPr>
        <w:t>or</w:t>
      </w:r>
      <w:r w:rsidRPr="00F731BA">
        <w:rPr>
          <w:color w:val="000000" w:themeColor="text1"/>
        </w:rPr>
        <w:t xml:space="preserve"> refusing to wear a dress even on special occasions</w:t>
      </w:r>
      <w:r w:rsidR="00880FAD" w:rsidRPr="00F731BA">
        <w:rPr>
          <w:color w:val="000000" w:themeColor="text1"/>
        </w:rPr>
        <w:t>”</w:t>
      </w:r>
      <w:r w:rsidRPr="00F731BA">
        <w:rPr>
          <w:color w:val="000000" w:themeColor="text1"/>
        </w:rPr>
        <w:t xml:space="preserve"> (Canadian Paediatric Society</w:t>
      </w:r>
      <w:r w:rsidR="0087344F" w:rsidRPr="00F731BA">
        <w:rPr>
          <w:color w:val="000000" w:themeColor="text1"/>
        </w:rPr>
        <w:t>,</w:t>
      </w:r>
      <w:r w:rsidRPr="00F731BA">
        <w:rPr>
          <w:color w:val="000000" w:themeColor="text1"/>
        </w:rPr>
        <w:t xml:space="preserve"> 2020</w:t>
      </w:r>
      <w:r w:rsidR="00B40346" w:rsidRPr="00F731BA">
        <w:rPr>
          <w:color w:val="000000" w:themeColor="text1"/>
        </w:rPr>
        <w:t>:</w:t>
      </w:r>
      <w:r w:rsidRPr="00F731BA">
        <w:rPr>
          <w:color w:val="000000" w:themeColor="text1"/>
        </w:rPr>
        <w:t xml:space="preserve"> n.p). A strident embrace of gender norms can lead to disciplinary relations with peers, such as insisting that only girls or boys are </w:t>
      </w:r>
      <w:r w:rsidR="00880FAD" w:rsidRPr="00F731BA">
        <w:rPr>
          <w:color w:val="000000" w:themeColor="text1"/>
        </w:rPr>
        <w:t>“</w:t>
      </w:r>
      <w:r w:rsidRPr="00F731BA">
        <w:rPr>
          <w:color w:val="000000" w:themeColor="text1"/>
        </w:rPr>
        <w:t>allowed</w:t>
      </w:r>
      <w:r w:rsidR="00880FAD" w:rsidRPr="00F731BA">
        <w:rPr>
          <w:color w:val="000000" w:themeColor="text1"/>
        </w:rPr>
        <w:t>”</w:t>
      </w:r>
      <w:r w:rsidR="005557C1" w:rsidRPr="00F731BA">
        <w:rPr>
          <w:color w:val="000000" w:themeColor="text1"/>
        </w:rPr>
        <w:t xml:space="preserve"> </w:t>
      </w:r>
      <w:r w:rsidRPr="00F731BA">
        <w:rPr>
          <w:color w:val="000000" w:themeColor="text1"/>
        </w:rPr>
        <w:t>to do, like, play with or wear some things (see Blaise 2005, 2012; Wohlwend</w:t>
      </w:r>
      <w:r w:rsidR="002606E6" w:rsidRPr="00F731BA">
        <w:rPr>
          <w:color w:val="000000" w:themeColor="text1"/>
        </w:rPr>
        <w:t>,</w:t>
      </w:r>
      <w:r w:rsidR="005110A0" w:rsidRPr="00F731BA">
        <w:rPr>
          <w:color w:val="000000" w:themeColor="text1"/>
        </w:rPr>
        <w:t xml:space="preserve"> </w:t>
      </w:r>
      <w:r w:rsidRPr="00F731BA">
        <w:rPr>
          <w:color w:val="000000" w:themeColor="text1"/>
        </w:rPr>
        <w:t xml:space="preserve">2009). </w:t>
      </w:r>
    </w:p>
    <w:p w14:paraId="56BE1802" w14:textId="27316668" w:rsidR="000E03BE" w:rsidRPr="00F731BA" w:rsidRDefault="000E03BE" w:rsidP="00B627E0">
      <w:pPr>
        <w:widowControl w:val="0"/>
        <w:spacing w:line="240" w:lineRule="auto"/>
        <w:ind w:firstLine="720"/>
        <w:rPr>
          <w:color w:val="000000" w:themeColor="text1"/>
        </w:rPr>
      </w:pPr>
      <w:r w:rsidRPr="00F731BA">
        <w:rPr>
          <w:color w:val="000000" w:themeColor="text1"/>
        </w:rPr>
        <w:t xml:space="preserve">By kindergarten, most </w:t>
      </w:r>
      <w:r w:rsidR="009622CA" w:rsidRPr="00F731BA">
        <w:rPr>
          <w:color w:val="000000" w:themeColor="text1"/>
        </w:rPr>
        <w:t xml:space="preserve">children </w:t>
      </w:r>
      <w:r w:rsidRPr="00F731BA">
        <w:rPr>
          <w:color w:val="000000" w:themeColor="text1"/>
        </w:rPr>
        <w:t xml:space="preserve">have a fairly stable gender identity including those who fall into the categories of transgender, gender-creative, or gender independent. That said, most markedly gender non-conforming children and those who experience clinical gender dysphoria (not necessarily the same group) do </w:t>
      </w:r>
      <w:r w:rsidRPr="00F731BA">
        <w:rPr>
          <w:i/>
          <w:color w:val="000000" w:themeColor="text1"/>
        </w:rPr>
        <w:t>not</w:t>
      </w:r>
      <w:r w:rsidRPr="00F731BA">
        <w:rPr>
          <w:color w:val="000000" w:themeColor="text1"/>
        </w:rPr>
        <w:t xml:space="preserve"> grow up to be transgender adults, whereas </w:t>
      </w:r>
      <w:r w:rsidR="00B10992" w:rsidRPr="00F731BA">
        <w:rPr>
          <w:color w:val="000000" w:themeColor="text1"/>
        </w:rPr>
        <w:t>“</w:t>
      </w:r>
      <w:r w:rsidRPr="00F731BA">
        <w:rPr>
          <w:color w:val="000000" w:themeColor="text1"/>
        </w:rPr>
        <w:t>[gender dysphoria] that persists into adolescence is more likely to persist into adulthood</w:t>
      </w:r>
      <w:r w:rsidR="00B10992" w:rsidRPr="00F731BA">
        <w:rPr>
          <w:color w:val="000000" w:themeColor="text1"/>
        </w:rPr>
        <w:t xml:space="preserve">” </w:t>
      </w:r>
      <w:r w:rsidRPr="00F731BA">
        <w:rPr>
          <w:color w:val="000000" w:themeColor="text1"/>
        </w:rPr>
        <w:t xml:space="preserve">(Drescher </w:t>
      </w:r>
      <w:r w:rsidR="00E403FE" w:rsidRPr="00F731BA">
        <w:rPr>
          <w:color w:val="000000" w:themeColor="text1"/>
        </w:rPr>
        <w:t>and</w:t>
      </w:r>
      <w:r w:rsidRPr="00F731BA">
        <w:rPr>
          <w:color w:val="000000" w:themeColor="text1"/>
        </w:rPr>
        <w:t xml:space="preserve"> Byne</w:t>
      </w:r>
      <w:r w:rsidR="0087344F" w:rsidRPr="00F731BA">
        <w:rPr>
          <w:color w:val="000000" w:themeColor="text1"/>
        </w:rPr>
        <w:t>,</w:t>
      </w:r>
      <w:r w:rsidRPr="00F731BA">
        <w:rPr>
          <w:color w:val="000000" w:themeColor="text1"/>
        </w:rPr>
        <w:t xml:space="preserve"> 2012</w:t>
      </w:r>
      <w:r w:rsidR="00B40346" w:rsidRPr="00F731BA">
        <w:rPr>
          <w:color w:val="000000" w:themeColor="text1"/>
        </w:rPr>
        <w:t>:</w:t>
      </w:r>
      <w:r w:rsidR="00B10992" w:rsidRPr="00F731BA">
        <w:rPr>
          <w:color w:val="000000" w:themeColor="text1"/>
        </w:rPr>
        <w:t xml:space="preserve"> p.</w:t>
      </w:r>
      <w:r w:rsidRPr="00F731BA">
        <w:rPr>
          <w:color w:val="000000" w:themeColor="text1"/>
        </w:rPr>
        <w:t xml:space="preserve"> 504). </w:t>
      </w:r>
    </w:p>
    <w:p w14:paraId="55ABF20C" w14:textId="738ABDE5" w:rsidR="000E03BE" w:rsidRPr="00F731BA" w:rsidRDefault="009622CA" w:rsidP="00B627E0">
      <w:pPr>
        <w:widowControl w:val="0"/>
        <w:spacing w:line="240" w:lineRule="auto"/>
        <w:ind w:firstLine="720"/>
        <w:rPr>
          <w:color w:val="000000" w:themeColor="text1"/>
        </w:rPr>
      </w:pPr>
      <w:r w:rsidRPr="00F731BA">
        <w:rPr>
          <w:color w:val="000000" w:themeColor="text1"/>
        </w:rPr>
        <w:t>G</w:t>
      </w:r>
      <w:r w:rsidR="000E03BE" w:rsidRPr="00F731BA">
        <w:rPr>
          <w:color w:val="000000" w:themeColor="text1"/>
        </w:rPr>
        <w:t>iven the positive outcomes associated with gender identity affirmation, we reiterate our insistence that a gender-expansive early years practice actively sustain</w:t>
      </w:r>
      <w:r w:rsidRPr="00F731BA">
        <w:rPr>
          <w:color w:val="000000" w:themeColor="text1"/>
        </w:rPr>
        <w:t>s</w:t>
      </w:r>
      <w:r w:rsidR="000E03BE" w:rsidRPr="00F731BA">
        <w:rPr>
          <w:color w:val="000000" w:themeColor="text1"/>
        </w:rPr>
        <w:t xml:space="preserve"> the possibility that </w:t>
      </w:r>
      <w:r w:rsidR="000E03BE" w:rsidRPr="00F731BA">
        <w:rPr>
          <w:iCs/>
          <w:color w:val="000000" w:themeColor="text1"/>
        </w:rPr>
        <w:t xml:space="preserve">any </w:t>
      </w:r>
      <w:r w:rsidR="000E03BE" w:rsidRPr="00F731BA">
        <w:rPr>
          <w:color w:val="000000" w:themeColor="text1"/>
        </w:rPr>
        <w:t xml:space="preserve">child in the early years classroom might come to know themself as transgender or express gender in non-conforming ways, </w:t>
      </w:r>
      <w:r w:rsidR="000E03BE" w:rsidRPr="00F731BA">
        <w:rPr>
          <w:iCs/>
          <w:color w:val="000000" w:themeColor="text1"/>
        </w:rPr>
        <w:t xml:space="preserve">even if there are no </w:t>
      </w:r>
      <w:r w:rsidR="00B10992" w:rsidRPr="00F731BA">
        <w:rPr>
          <w:iCs/>
          <w:color w:val="000000" w:themeColor="text1"/>
        </w:rPr>
        <w:t>“</w:t>
      </w:r>
      <w:r w:rsidR="000E03BE" w:rsidRPr="00F731BA">
        <w:rPr>
          <w:iCs/>
          <w:color w:val="000000" w:themeColor="text1"/>
        </w:rPr>
        <w:t>signs</w:t>
      </w:r>
      <w:r w:rsidR="00B10992" w:rsidRPr="00F731BA">
        <w:rPr>
          <w:iCs/>
          <w:color w:val="000000" w:themeColor="text1"/>
        </w:rPr>
        <w:t>”</w:t>
      </w:r>
      <w:r w:rsidR="000E03BE" w:rsidRPr="00F731BA">
        <w:rPr>
          <w:iCs/>
          <w:color w:val="000000" w:themeColor="text1"/>
        </w:rPr>
        <w:t xml:space="preserve"> in the present.</w:t>
      </w:r>
      <w:r w:rsidR="000E03BE" w:rsidRPr="00F731BA">
        <w:rPr>
          <w:color w:val="000000" w:themeColor="text1"/>
        </w:rPr>
        <w:t xml:space="preserve"> Furthermore, we argue that gender-expansive </w:t>
      </w:r>
      <w:r w:rsidRPr="00F731BA">
        <w:rPr>
          <w:color w:val="000000" w:themeColor="text1"/>
        </w:rPr>
        <w:t>practice requires b</w:t>
      </w:r>
      <w:r w:rsidR="000E03BE" w:rsidRPr="00F731BA">
        <w:rPr>
          <w:color w:val="000000" w:themeColor="text1"/>
        </w:rPr>
        <w:t>racket</w:t>
      </w:r>
      <w:r w:rsidRPr="00F731BA">
        <w:rPr>
          <w:color w:val="000000" w:themeColor="text1"/>
        </w:rPr>
        <w:t>ing one’s</w:t>
      </w:r>
      <w:r w:rsidR="000E03BE" w:rsidRPr="00F731BA">
        <w:rPr>
          <w:color w:val="000000" w:themeColor="text1"/>
        </w:rPr>
        <w:t xml:space="preserve"> socio-historical repertoire of such </w:t>
      </w:r>
      <w:r w:rsidR="00B10992" w:rsidRPr="00F731BA">
        <w:rPr>
          <w:color w:val="000000" w:themeColor="text1"/>
        </w:rPr>
        <w:t>“</w:t>
      </w:r>
      <w:r w:rsidR="000E03BE" w:rsidRPr="00F731BA">
        <w:rPr>
          <w:color w:val="000000" w:themeColor="text1"/>
        </w:rPr>
        <w:t>signs</w:t>
      </w:r>
      <w:r w:rsidR="00B10992" w:rsidRPr="00F731BA">
        <w:rPr>
          <w:color w:val="000000" w:themeColor="text1"/>
        </w:rPr>
        <w:t>”</w:t>
      </w:r>
      <w:r w:rsidR="000E03BE" w:rsidRPr="00F731BA">
        <w:rPr>
          <w:color w:val="000000" w:themeColor="text1"/>
        </w:rPr>
        <w:t xml:space="preserve"> because gender diversity is always changing (Airton</w:t>
      </w:r>
      <w:r w:rsidR="00097AA0" w:rsidRPr="00F731BA">
        <w:rPr>
          <w:color w:val="000000" w:themeColor="text1"/>
        </w:rPr>
        <w:t>,</w:t>
      </w:r>
      <w:r w:rsidR="000E03BE" w:rsidRPr="00F731BA">
        <w:rPr>
          <w:color w:val="000000" w:themeColor="text1"/>
        </w:rPr>
        <w:t xml:space="preserve"> 2009</w:t>
      </w:r>
      <w:r w:rsidR="00C560F1" w:rsidRPr="00F731BA">
        <w:rPr>
          <w:color w:val="000000" w:themeColor="text1"/>
        </w:rPr>
        <w:t xml:space="preserve">, </w:t>
      </w:r>
      <w:r w:rsidR="000E03BE" w:rsidRPr="00F731BA">
        <w:rPr>
          <w:color w:val="000000" w:themeColor="text1"/>
        </w:rPr>
        <w:t>2013</w:t>
      </w:r>
      <w:r w:rsidR="00C560F1" w:rsidRPr="00F731BA">
        <w:rPr>
          <w:color w:val="000000" w:themeColor="text1"/>
        </w:rPr>
        <w:t>,</w:t>
      </w:r>
      <w:r w:rsidR="000E03BE" w:rsidRPr="00F731BA">
        <w:rPr>
          <w:color w:val="000000" w:themeColor="text1"/>
        </w:rPr>
        <w:t xml:space="preserve"> 2019). </w:t>
      </w:r>
      <w:r w:rsidR="007C6937" w:rsidRPr="00F731BA">
        <w:rPr>
          <w:color w:val="000000" w:themeColor="text1"/>
        </w:rPr>
        <w:t>I</w:t>
      </w:r>
      <w:r w:rsidR="000E03BE" w:rsidRPr="00F731BA">
        <w:rPr>
          <w:color w:val="000000" w:themeColor="text1"/>
        </w:rPr>
        <w:t xml:space="preserve">nteracting with every child as if their sense of their gender might change does </w:t>
      </w:r>
      <w:r w:rsidR="000E03BE" w:rsidRPr="00F731BA">
        <w:rPr>
          <w:iCs/>
          <w:color w:val="000000" w:themeColor="text1"/>
        </w:rPr>
        <w:t xml:space="preserve">not </w:t>
      </w:r>
      <w:r w:rsidR="000E03BE" w:rsidRPr="00F731BA">
        <w:rPr>
          <w:color w:val="000000" w:themeColor="text1"/>
        </w:rPr>
        <w:t xml:space="preserve">mean banishing gender altogether, or telling gender-conforming cisgender children that they are not who they are. This invalidation </w:t>
      </w:r>
      <w:r w:rsidR="007C6937" w:rsidRPr="00F731BA">
        <w:rPr>
          <w:color w:val="000000" w:themeColor="text1"/>
        </w:rPr>
        <w:t>is</w:t>
      </w:r>
      <w:r w:rsidR="000E03BE" w:rsidRPr="00F731BA">
        <w:rPr>
          <w:color w:val="000000" w:themeColor="text1"/>
        </w:rPr>
        <w:t xml:space="preserve"> as unconscionable in the case of cisgender children as it is for the transgender children who experience it on a regular basis. Rather, it means daily re-creating an environment conducive to each child’s </w:t>
      </w:r>
      <w:r w:rsidR="000E03BE" w:rsidRPr="00F731BA">
        <w:rPr>
          <w:iCs/>
          <w:color w:val="000000" w:themeColor="text1"/>
        </w:rPr>
        <w:t>gender health,</w:t>
      </w:r>
      <w:r w:rsidR="000E03BE" w:rsidRPr="00F731BA">
        <w:rPr>
          <w:color w:val="000000" w:themeColor="text1"/>
        </w:rPr>
        <w:t xml:space="preserve"> which Hidalgo and colleagues (2013) define as each </w:t>
      </w:r>
      <w:r w:rsidR="00B10992" w:rsidRPr="00F731BA">
        <w:rPr>
          <w:color w:val="000000" w:themeColor="text1"/>
        </w:rPr>
        <w:t>“</w:t>
      </w:r>
      <w:r w:rsidR="000E03BE" w:rsidRPr="00F731BA">
        <w:rPr>
          <w:color w:val="000000" w:themeColor="text1"/>
        </w:rPr>
        <w:t>child’s opportunity to live in the gender that feels most real or comfortable to that child and to express that gender with freedom from restriction, aspersion, or rejection</w:t>
      </w:r>
      <w:r w:rsidR="00B10992" w:rsidRPr="00F731BA">
        <w:rPr>
          <w:color w:val="000000" w:themeColor="text1"/>
        </w:rPr>
        <w:t>”</w:t>
      </w:r>
      <w:r w:rsidR="000E03BE" w:rsidRPr="00F731BA">
        <w:rPr>
          <w:color w:val="000000" w:themeColor="text1"/>
        </w:rPr>
        <w:t xml:space="preserve"> (</w:t>
      </w:r>
      <w:r w:rsidR="005C6993" w:rsidRPr="00F731BA">
        <w:rPr>
          <w:color w:val="000000" w:themeColor="text1"/>
        </w:rPr>
        <w:t xml:space="preserve">p. </w:t>
      </w:r>
      <w:r w:rsidR="000E03BE" w:rsidRPr="00F731BA">
        <w:rPr>
          <w:color w:val="000000" w:themeColor="text1"/>
        </w:rPr>
        <w:t xml:space="preserve">286). As we shall demonstrate, Ontario </w:t>
      </w:r>
      <w:r w:rsidR="0087344F" w:rsidRPr="00F731BA">
        <w:rPr>
          <w:color w:val="000000" w:themeColor="text1"/>
        </w:rPr>
        <w:t>ECEs</w:t>
      </w:r>
      <w:r w:rsidR="0063117E" w:rsidRPr="00F731BA">
        <w:rPr>
          <w:color w:val="000000" w:themeColor="text1"/>
        </w:rPr>
        <w:t>’</w:t>
      </w:r>
      <w:r w:rsidR="0087344F" w:rsidRPr="00F731BA">
        <w:rPr>
          <w:color w:val="000000" w:themeColor="text1"/>
        </w:rPr>
        <w:t xml:space="preserve"> </w:t>
      </w:r>
      <w:r w:rsidR="000E03BE" w:rsidRPr="00F731BA">
        <w:rPr>
          <w:color w:val="000000" w:themeColor="text1"/>
        </w:rPr>
        <w:t xml:space="preserve">legal responsibilities in relation to gender diversity reflect a commitment to fostering each child’s gender health through gender-expansive practice. As we recognize both gender diversity </w:t>
      </w:r>
      <w:r w:rsidR="000E03BE" w:rsidRPr="00F731BA">
        <w:rPr>
          <w:i/>
          <w:color w:val="000000" w:themeColor="text1"/>
        </w:rPr>
        <w:t>and</w:t>
      </w:r>
      <w:r w:rsidR="000E03BE" w:rsidRPr="00F731BA">
        <w:rPr>
          <w:color w:val="000000" w:themeColor="text1"/>
        </w:rPr>
        <w:t xml:space="preserve"> the education of young children to be contextually specific, the next section </w:t>
      </w:r>
      <w:r w:rsidR="007C6937" w:rsidRPr="00F731BA">
        <w:rPr>
          <w:color w:val="000000" w:themeColor="text1"/>
        </w:rPr>
        <w:t>offers</w:t>
      </w:r>
      <w:r w:rsidR="000E03BE" w:rsidRPr="00F731BA">
        <w:rPr>
          <w:color w:val="000000" w:themeColor="text1"/>
        </w:rPr>
        <w:t xml:space="preserve"> context </w:t>
      </w:r>
      <w:r w:rsidR="007C6937" w:rsidRPr="00F731BA">
        <w:rPr>
          <w:color w:val="000000" w:themeColor="text1"/>
        </w:rPr>
        <w:t xml:space="preserve">for </w:t>
      </w:r>
      <w:r w:rsidR="000E03BE" w:rsidRPr="00F731BA">
        <w:rPr>
          <w:color w:val="000000" w:themeColor="text1"/>
        </w:rPr>
        <w:t>early years education in Ontario, Canada.</w:t>
      </w:r>
      <w:r w:rsidR="006E69D0" w:rsidRPr="00F731BA">
        <w:rPr>
          <w:color w:val="000000" w:themeColor="text1"/>
        </w:rPr>
        <w:br/>
      </w:r>
    </w:p>
    <w:p w14:paraId="407190B9" w14:textId="6274667C" w:rsidR="000E03BE" w:rsidRPr="00F731BA" w:rsidRDefault="007127E1" w:rsidP="00B627E0">
      <w:pPr>
        <w:widowControl w:val="0"/>
        <w:spacing w:line="240" w:lineRule="auto"/>
        <w:jc w:val="center"/>
        <w:rPr>
          <w:color w:val="000000" w:themeColor="text1"/>
        </w:rPr>
      </w:pPr>
      <w:r w:rsidRPr="00F731BA">
        <w:rPr>
          <w:b/>
          <w:color w:val="000000" w:themeColor="text1"/>
        </w:rPr>
        <w:t xml:space="preserve">The </w:t>
      </w:r>
      <w:r w:rsidR="00D814BE" w:rsidRPr="00F731BA">
        <w:rPr>
          <w:b/>
          <w:color w:val="000000" w:themeColor="text1"/>
        </w:rPr>
        <w:t xml:space="preserve">Ontario </w:t>
      </w:r>
      <w:r w:rsidRPr="00F731BA">
        <w:rPr>
          <w:b/>
          <w:color w:val="000000" w:themeColor="text1"/>
        </w:rPr>
        <w:t xml:space="preserve">Context </w:t>
      </w:r>
    </w:p>
    <w:p w14:paraId="5FC9E54B" w14:textId="3F3649A3" w:rsidR="000E03BE" w:rsidRPr="00F731BA" w:rsidRDefault="000E03BE" w:rsidP="00B627E0">
      <w:pPr>
        <w:widowControl w:val="0"/>
        <w:spacing w:line="240" w:lineRule="auto"/>
        <w:rPr>
          <w:color w:val="000000" w:themeColor="text1"/>
        </w:rPr>
      </w:pPr>
      <w:r w:rsidRPr="00F731BA">
        <w:rPr>
          <w:color w:val="000000" w:themeColor="text1"/>
        </w:rPr>
        <w:tab/>
        <w:t xml:space="preserve">In Ontario, the professionalization of early childhood education follows a </w:t>
      </w:r>
      <w:r w:rsidR="00027C22" w:rsidRPr="00F731BA">
        <w:rPr>
          <w:color w:val="000000" w:themeColor="text1"/>
        </w:rPr>
        <w:t xml:space="preserve">Canadian and international </w:t>
      </w:r>
      <w:r w:rsidRPr="00F731BA">
        <w:rPr>
          <w:color w:val="000000" w:themeColor="text1"/>
        </w:rPr>
        <w:t xml:space="preserve">trend, reflecting broader shifts toward understanding early learning’s importance and </w:t>
      </w:r>
      <w:r w:rsidR="00A35A89" w:rsidRPr="00F731BA">
        <w:rPr>
          <w:color w:val="000000" w:themeColor="text1"/>
        </w:rPr>
        <w:t xml:space="preserve">the critical role of </w:t>
      </w:r>
      <w:r w:rsidRPr="00F731BA">
        <w:rPr>
          <w:color w:val="000000" w:themeColor="text1"/>
        </w:rPr>
        <w:t xml:space="preserve">ECEs’ </w:t>
      </w:r>
      <w:r w:rsidR="00A35A89" w:rsidRPr="00F731BA">
        <w:rPr>
          <w:color w:val="000000" w:themeColor="text1"/>
        </w:rPr>
        <w:t xml:space="preserve">in supporting learning </w:t>
      </w:r>
      <w:r w:rsidRPr="00F731BA">
        <w:rPr>
          <w:color w:val="000000" w:themeColor="text1"/>
        </w:rPr>
        <w:t>(Gananathan</w:t>
      </w:r>
      <w:r w:rsidR="00CF5A38" w:rsidRPr="00F731BA">
        <w:rPr>
          <w:color w:val="000000" w:themeColor="text1"/>
        </w:rPr>
        <w:t>,</w:t>
      </w:r>
      <w:r w:rsidRPr="00F731BA">
        <w:rPr>
          <w:color w:val="000000" w:themeColor="text1"/>
        </w:rPr>
        <w:t xml:space="preserve"> 2015; McCuaig </w:t>
      </w:r>
      <w:r w:rsidR="00F45F1B" w:rsidRPr="00F731BA">
        <w:rPr>
          <w:color w:val="000000" w:themeColor="text1"/>
        </w:rPr>
        <w:t>and</w:t>
      </w:r>
      <w:r w:rsidRPr="00F731BA">
        <w:rPr>
          <w:color w:val="000000" w:themeColor="text1"/>
        </w:rPr>
        <w:t xml:space="preserve"> Akbari 2014). An example of this professionalization was the establishment of the College of Early Childhood Educators in Ontario. In May 2007, the provincial government passed the </w:t>
      </w:r>
      <w:r w:rsidRPr="00F731BA">
        <w:rPr>
          <w:i/>
          <w:color w:val="000000" w:themeColor="text1"/>
        </w:rPr>
        <w:t>Early Childhood Educators Act</w:t>
      </w:r>
      <w:r w:rsidRPr="00F731BA">
        <w:rPr>
          <w:color w:val="000000" w:themeColor="text1"/>
        </w:rPr>
        <w:t xml:space="preserve"> (updated in 2014 to the </w:t>
      </w:r>
      <w:r w:rsidRPr="00F731BA">
        <w:rPr>
          <w:i/>
          <w:color w:val="000000" w:themeColor="text1"/>
        </w:rPr>
        <w:t>Child</w:t>
      </w:r>
      <w:r w:rsidRPr="00F731BA">
        <w:rPr>
          <w:color w:val="000000" w:themeColor="text1"/>
        </w:rPr>
        <w:t xml:space="preserve"> </w:t>
      </w:r>
      <w:r w:rsidRPr="00F731BA">
        <w:rPr>
          <w:i/>
          <w:color w:val="000000" w:themeColor="text1"/>
        </w:rPr>
        <w:t>Care and Early Years Act</w:t>
      </w:r>
      <w:r w:rsidRPr="00F731BA">
        <w:rPr>
          <w:iCs/>
          <w:color w:val="000000" w:themeColor="text1"/>
        </w:rPr>
        <w:t>)</w:t>
      </w:r>
      <w:r w:rsidRPr="00F731BA">
        <w:rPr>
          <w:i/>
          <w:color w:val="000000" w:themeColor="text1"/>
        </w:rPr>
        <w:t xml:space="preserve"> </w:t>
      </w:r>
      <w:r w:rsidRPr="00F731BA">
        <w:rPr>
          <w:iCs/>
          <w:color w:val="000000" w:themeColor="text1"/>
        </w:rPr>
        <w:t>which</w:t>
      </w:r>
      <w:r w:rsidRPr="00F731BA">
        <w:rPr>
          <w:i/>
          <w:color w:val="000000" w:themeColor="text1"/>
        </w:rPr>
        <w:t xml:space="preserve"> </w:t>
      </w:r>
      <w:r w:rsidRPr="00F731BA">
        <w:rPr>
          <w:color w:val="000000" w:themeColor="text1"/>
        </w:rPr>
        <w:t>established the College (CECE</w:t>
      </w:r>
      <w:r w:rsidR="0087344F" w:rsidRPr="00F731BA">
        <w:rPr>
          <w:color w:val="000000" w:themeColor="text1"/>
        </w:rPr>
        <w:t>,</w:t>
      </w:r>
      <w:r w:rsidRPr="00F731BA">
        <w:rPr>
          <w:color w:val="000000" w:themeColor="text1"/>
        </w:rPr>
        <w:t xml:space="preserve"> 2019)</w:t>
      </w:r>
      <w:r w:rsidR="0087344F" w:rsidRPr="00F731BA">
        <w:rPr>
          <w:color w:val="000000" w:themeColor="text1"/>
        </w:rPr>
        <w:t>.</w:t>
      </w:r>
      <w:r w:rsidRPr="00F731BA">
        <w:rPr>
          <w:color w:val="000000" w:themeColor="text1"/>
        </w:rPr>
        <w:t xml:space="preserve"> </w:t>
      </w:r>
    </w:p>
    <w:p w14:paraId="5F6E5126" w14:textId="415DD275" w:rsidR="000E03BE" w:rsidRPr="00F731BA" w:rsidRDefault="000E03BE" w:rsidP="00B627E0">
      <w:pPr>
        <w:widowControl w:val="0"/>
        <w:spacing w:line="240" w:lineRule="auto"/>
        <w:ind w:firstLine="720"/>
        <w:rPr>
          <w:color w:val="000000" w:themeColor="text1"/>
        </w:rPr>
      </w:pPr>
      <w:r w:rsidRPr="00F731BA">
        <w:rPr>
          <w:color w:val="000000" w:themeColor="text1"/>
        </w:rPr>
        <w:t xml:space="preserve">The </w:t>
      </w:r>
      <w:r w:rsidRPr="00F731BA">
        <w:rPr>
          <w:i/>
          <w:color w:val="000000" w:themeColor="text1"/>
        </w:rPr>
        <w:t>Child</w:t>
      </w:r>
      <w:r w:rsidRPr="00F731BA">
        <w:rPr>
          <w:color w:val="000000" w:themeColor="text1"/>
        </w:rPr>
        <w:t xml:space="preserve"> </w:t>
      </w:r>
      <w:r w:rsidRPr="00F731BA">
        <w:rPr>
          <w:i/>
          <w:color w:val="000000" w:themeColor="text1"/>
        </w:rPr>
        <w:t xml:space="preserve">Care and Early Years Act </w:t>
      </w:r>
      <w:r w:rsidRPr="00F731BA">
        <w:rPr>
          <w:color w:val="000000" w:themeColor="text1"/>
        </w:rPr>
        <w:t xml:space="preserve">(2014) recognizes that ECEs must have </w:t>
      </w:r>
      <w:r w:rsidRPr="00F731BA">
        <w:rPr>
          <w:color w:val="000000" w:themeColor="text1"/>
        </w:rPr>
        <w:lastRenderedPageBreak/>
        <w:t xml:space="preserve">knowledge of developmentally-appropriate and inclusive practice in order to support the well-being of </w:t>
      </w:r>
      <w:r w:rsidRPr="00F731BA">
        <w:rPr>
          <w:i/>
          <w:color w:val="000000" w:themeColor="text1"/>
        </w:rPr>
        <w:t>all</w:t>
      </w:r>
      <w:r w:rsidRPr="00F731BA">
        <w:rPr>
          <w:color w:val="000000" w:themeColor="text1"/>
        </w:rPr>
        <w:t xml:space="preserve"> children, and must understand their legal responsibility to provide an environment for young children and their families free from discrimination on all grounds; as of 2012 in Ontario, these include gender identity and gender expression. As a result,</w:t>
      </w:r>
      <w:r w:rsidR="00097AA0" w:rsidRPr="00F731BA">
        <w:rPr>
          <w:color w:val="000000" w:themeColor="text1"/>
        </w:rPr>
        <w:t xml:space="preserve"> this research</w:t>
      </w:r>
      <w:r w:rsidRPr="00F731BA">
        <w:rPr>
          <w:color w:val="000000" w:themeColor="text1"/>
        </w:rPr>
        <w:t xml:space="preserve"> argue</w:t>
      </w:r>
      <w:r w:rsidR="00097AA0" w:rsidRPr="00F731BA">
        <w:rPr>
          <w:color w:val="000000" w:themeColor="text1"/>
        </w:rPr>
        <w:t>s</w:t>
      </w:r>
      <w:r w:rsidRPr="00F731BA">
        <w:rPr>
          <w:color w:val="000000" w:themeColor="text1"/>
        </w:rPr>
        <w:t xml:space="preserve"> that ECEs’ professional knowledge base must include the manifestation and mitigation of gender identity discrimination, and gender expression discrimination. This is essential knowledge for sustaining gender diversity in the contexts in which they work. </w:t>
      </w:r>
    </w:p>
    <w:p w14:paraId="262C1604" w14:textId="3368AF4B" w:rsidR="000E03BE" w:rsidRPr="00F731BA" w:rsidRDefault="00D46B85" w:rsidP="00B627E0">
      <w:pPr>
        <w:widowControl w:val="0"/>
        <w:spacing w:line="240" w:lineRule="auto"/>
        <w:ind w:firstLine="720"/>
        <w:rPr>
          <w:iCs/>
          <w:color w:val="000000" w:themeColor="text1"/>
        </w:rPr>
      </w:pPr>
      <w:r w:rsidRPr="00F731BA">
        <w:rPr>
          <w:color w:val="000000" w:themeColor="text1"/>
        </w:rPr>
        <w:t>N</w:t>
      </w:r>
      <w:r w:rsidR="000E03BE" w:rsidRPr="00F731BA">
        <w:rPr>
          <w:color w:val="000000" w:themeColor="text1"/>
        </w:rPr>
        <w:t xml:space="preserve">ext, </w:t>
      </w:r>
      <w:r w:rsidR="00097AA0" w:rsidRPr="00F731BA">
        <w:rPr>
          <w:color w:val="000000" w:themeColor="text1"/>
        </w:rPr>
        <w:t>this research</w:t>
      </w:r>
      <w:r w:rsidR="000E03BE" w:rsidRPr="00F731BA">
        <w:rPr>
          <w:color w:val="000000" w:themeColor="text1"/>
        </w:rPr>
        <w:t xml:space="preserve"> consider</w:t>
      </w:r>
      <w:r w:rsidR="00097AA0" w:rsidRPr="00F731BA">
        <w:rPr>
          <w:color w:val="000000" w:themeColor="text1"/>
        </w:rPr>
        <w:t>s</w:t>
      </w:r>
      <w:r w:rsidR="000E03BE" w:rsidRPr="00F731BA">
        <w:rPr>
          <w:color w:val="000000" w:themeColor="text1"/>
        </w:rPr>
        <w:t xml:space="preserve"> how gender-expansive practices fall under professional responsibilities as outlined in two guiding documents: (1) </w:t>
      </w:r>
      <w:r w:rsidR="000E03BE" w:rsidRPr="00F731BA">
        <w:rPr>
          <w:i/>
          <w:color w:val="000000" w:themeColor="text1"/>
        </w:rPr>
        <w:t>Early Learning for Every Child Today: A Framework for Ontario Early Childhood Settings</w:t>
      </w:r>
      <w:r w:rsidR="000E03BE" w:rsidRPr="00F731BA">
        <w:rPr>
          <w:color w:val="000000" w:themeColor="text1"/>
        </w:rPr>
        <w:t xml:space="preserve"> (ELECT) (</w:t>
      </w:r>
      <w:r w:rsidR="00C42E55" w:rsidRPr="00F731BA">
        <w:rPr>
          <w:color w:val="000000" w:themeColor="text1"/>
          <w:highlight w:val="white"/>
        </w:rPr>
        <w:t>BSEP</w:t>
      </w:r>
      <w:r w:rsidR="0087344F" w:rsidRPr="00F731BA">
        <w:rPr>
          <w:color w:val="000000" w:themeColor="text1"/>
          <w:highlight w:val="white"/>
        </w:rPr>
        <w:t>,</w:t>
      </w:r>
      <w:r w:rsidR="000E03BE" w:rsidRPr="00F731BA">
        <w:rPr>
          <w:color w:val="000000" w:themeColor="text1"/>
          <w:highlight w:val="white"/>
        </w:rPr>
        <w:t xml:space="preserve"> 2007)</w:t>
      </w:r>
      <w:r w:rsidR="000E03BE" w:rsidRPr="00F731BA">
        <w:rPr>
          <w:color w:val="000000" w:themeColor="text1"/>
        </w:rPr>
        <w:t xml:space="preserve">, and (2) </w:t>
      </w:r>
      <w:r w:rsidR="000E03BE" w:rsidRPr="00F731BA">
        <w:rPr>
          <w:i/>
          <w:color w:val="000000" w:themeColor="text1"/>
        </w:rPr>
        <w:t>How Does Learning Happen? Ontario’s Pedagogy for the Early Years</w:t>
      </w:r>
      <w:r w:rsidR="000E03BE" w:rsidRPr="00F731BA">
        <w:rPr>
          <w:color w:val="000000" w:themeColor="text1"/>
        </w:rPr>
        <w:t xml:space="preserve"> </w:t>
      </w:r>
      <w:r w:rsidR="0087344F" w:rsidRPr="00F731BA">
        <w:rPr>
          <w:color w:val="000000" w:themeColor="text1"/>
        </w:rPr>
        <w:t>(HDLH) (</w:t>
      </w:r>
      <w:r w:rsidR="000E03BE" w:rsidRPr="00F731BA">
        <w:rPr>
          <w:color w:val="000000" w:themeColor="text1"/>
        </w:rPr>
        <w:t>OMOE</w:t>
      </w:r>
      <w:r w:rsidR="0087344F" w:rsidRPr="00F731BA">
        <w:rPr>
          <w:color w:val="000000" w:themeColor="text1"/>
        </w:rPr>
        <w:t>,</w:t>
      </w:r>
      <w:r w:rsidR="000E03BE" w:rsidRPr="00F731BA">
        <w:rPr>
          <w:color w:val="000000" w:themeColor="text1"/>
        </w:rPr>
        <w:t xml:space="preserve"> 2014)</w:t>
      </w:r>
      <w:r w:rsidR="0087344F" w:rsidRPr="00F731BA">
        <w:rPr>
          <w:color w:val="000000" w:themeColor="text1"/>
        </w:rPr>
        <w:t xml:space="preserve">. </w:t>
      </w:r>
      <w:r w:rsidR="00097AA0" w:rsidRPr="00F731BA">
        <w:rPr>
          <w:color w:val="000000" w:themeColor="text1"/>
        </w:rPr>
        <w:t>D</w:t>
      </w:r>
      <w:r w:rsidR="000E03BE" w:rsidRPr="00F731BA">
        <w:rPr>
          <w:color w:val="000000" w:themeColor="text1"/>
        </w:rPr>
        <w:t>espite making no</w:t>
      </w:r>
      <w:r w:rsidR="000E03BE" w:rsidRPr="00F731BA">
        <w:rPr>
          <w:iCs/>
          <w:color w:val="000000" w:themeColor="text1"/>
        </w:rPr>
        <w:t xml:space="preserve"> explicit</w:t>
      </w:r>
      <w:r w:rsidR="000E03BE" w:rsidRPr="00F731BA">
        <w:rPr>
          <w:color w:val="000000" w:themeColor="text1"/>
        </w:rPr>
        <w:t xml:space="preserve"> reference to practices that welcome and sustain childhood gender diversity, </w:t>
      </w:r>
      <w:r w:rsidR="00097AA0" w:rsidRPr="00F731BA">
        <w:rPr>
          <w:color w:val="000000" w:themeColor="text1"/>
        </w:rPr>
        <w:t xml:space="preserve">this research suggests that </w:t>
      </w:r>
      <w:r w:rsidR="000E03BE" w:rsidRPr="00F731BA">
        <w:rPr>
          <w:color w:val="000000" w:themeColor="text1"/>
        </w:rPr>
        <w:t>th</w:t>
      </w:r>
      <w:r w:rsidR="00097AA0" w:rsidRPr="00F731BA">
        <w:rPr>
          <w:color w:val="000000" w:themeColor="text1"/>
        </w:rPr>
        <w:t>e</w:t>
      </w:r>
      <w:r w:rsidR="000E03BE" w:rsidRPr="00F731BA">
        <w:rPr>
          <w:color w:val="000000" w:themeColor="text1"/>
        </w:rPr>
        <w:t xml:space="preserve"> key guiding documents support and </w:t>
      </w:r>
      <w:r w:rsidR="000E03BE" w:rsidRPr="00F731BA">
        <w:rPr>
          <w:iCs/>
          <w:color w:val="000000" w:themeColor="text1"/>
        </w:rPr>
        <w:t>even tacitly require gender-expansive practice.</w:t>
      </w:r>
    </w:p>
    <w:p w14:paraId="521991F5" w14:textId="77777777" w:rsidR="00B627E0" w:rsidRPr="00F731BA" w:rsidRDefault="00B627E0" w:rsidP="00B627E0">
      <w:pPr>
        <w:widowControl w:val="0"/>
        <w:spacing w:line="240" w:lineRule="auto"/>
        <w:ind w:firstLine="720"/>
        <w:rPr>
          <w:iCs/>
          <w:color w:val="000000" w:themeColor="text1"/>
        </w:rPr>
      </w:pPr>
    </w:p>
    <w:p w14:paraId="5E66255A" w14:textId="268C7B2A" w:rsidR="00B627E0" w:rsidRPr="00F731BA" w:rsidRDefault="000E03BE" w:rsidP="00B94F26">
      <w:pPr>
        <w:widowControl w:val="0"/>
        <w:spacing w:line="240" w:lineRule="auto"/>
        <w:jc w:val="center"/>
        <w:rPr>
          <w:b/>
          <w:iCs/>
          <w:color w:val="000000" w:themeColor="text1"/>
        </w:rPr>
      </w:pPr>
      <w:r w:rsidRPr="00F731BA">
        <w:rPr>
          <w:b/>
          <w:iCs/>
          <w:color w:val="000000" w:themeColor="text1"/>
        </w:rPr>
        <w:t xml:space="preserve">Gender-Expansive </w:t>
      </w:r>
      <w:r w:rsidR="006E69D0" w:rsidRPr="00F731BA">
        <w:rPr>
          <w:b/>
          <w:iCs/>
          <w:color w:val="000000" w:themeColor="text1"/>
        </w:rPr>
        <w:t xml:space="preserve">Analysis </w:t>
      </w:r>
      <w:r w:rsidRPr="00F731BA">
        <w:rPr>
          <w:b/>
          <w:iCs/>
          <w:color w:val="000000" w:themeColor="text1"/>
        </w:rPr>
        <w:t>of Profession</w:t>
      </w:r>
      <w:r w:rsidR="007441FF" w:rsidRPr="00F731BA">
        <w:rPr>
          <w:b/>
          <w:iCs/>
          <w:color w:val="000000" w:themeColor="text1"/>
        </w:rPr>
        <w:t>al</w:t>
      </w:r>
      <w:r w:rsidRPr="00F731BA">
        <w:rPr>
          <w:b/>
          <w:iCs/>
          <w:color w:val="000000" w:themeColor="text1"/>
        </w:rPr>
        <w:t xml:space="preserve"> Guiding Documents</w:t>
      </w:r>
    </w:p>
    <w:p w14:paraId="00AE790E" w14:textId="12EE486B" w:rsidR="000E03BE" w:rsidRPr="00F731BA" w:rsidRDefault="000E03BE" w:rsidP="00B627E0">
      <w:pPr>
        <w:widowControl w:val="0"/>
        <w:spacing w:line="240" w:lineRule="auto"/>
        <w:rPr>
          <w:iCs/>
          <w:color w:val="000000" w:themeColor="text1"/>
        </w:rPr>
      </w:pPr>
      <w:r w:rsidRPr="00F731BA">
        <w:rPr>
          <w:color w:val="000000" w:themeColor="text1"/>
        </w:rPr>
        <w:t xml:space="preserve">  </w:t>
      </w:r>
      <w:r w:rsidRPr="00F731BA">
        <w:rPr>
          <w:color w:val="000000" w:themeColor="text1"/>
        </w:rPr>
        <w:tab/>
      </w:r>
      <w:r w:rsidR="00655266" w:rsidRPr="00F731BA">
        <w:rPr>
          <w:color w:val="000000" w:themeColor="text1"/>
        </w:rPr>
        <w:t>To reiterate</w:t>
      </w:r>
      <w:r w:rsidRPr="00F731BA">
        <w:rPr>
          <w:color w:val="000000" w:themeColor="text1"/>
        </w:rPr>
        <w:t xml:space="preserve">, gender-expansive early years practice is an approach to teaching young children that expects and sustains childhood gender diversity. </w:t>
      </w:r>
      <w:r w:rsidR="00655266" w:rsidRPr="00F731BA">
        <w:rPr>
          <w:color w:val="000000" w:themeColor="text1"/>
        </w:rPr>
        <w:t>It</w:t>
      </w:r>
      <w:r w:rsidRPr="00F731BA">
        <w:rPr>
          <w:color w:val="000000" w:themeColor="text1"/>
        </w:rPr>
        <w:t xml:space="preserve"> is proactive</w:t>
      </w:r>
      <w:r w:rsidRPr="00F731BA">
        <w:rPr>
          <w:i/>
          <w:color w:val="000000" w:themeColor="text1"/>
        </w:rPr>
        <w:t xml:space="preserve"> </w:t>
      </w:r>
      <w:r w:rsidRPr="00F731BA">
        <w:rPr>
          <w:color w:val="000000" w:themeColor="text1"/>
        </w:rPr>
        <w:t xml:space="preserve">in that it seeks to </w:t>
      </w:r>
      <w:r w:rsidRPr="00F731BA">
        <w:rPr>
          <w:iCs/>
          <w:color w:val="000000" w:themeColor="text1"/>
        </w:rPr>
        <w:t xml:space="preserve">prevent </w:t>
      </w:r>
      <w:r w:rsidRPr="00F731BA">
        <w:rPr>
          <w:color w:val="000000" w:themeColor="text1"/>
        </w:rPr>
        <w:t xml:space="preserve">gender identity discrimination and gender expression discrimination, whether interpersonal or institutional, and not only </w:t>
      </w:r>
      <w:r w:rsidRPr="00F731BA">
        <w:rPr>
          <w:iCs/>
          <w:color w:val="000000" w:themeColor="text1"/>
        </w:rPr>
        <w:t xml:space="preserve">respond </w:t>
      </w:r>
      <w:r w:rsidRPr="00F731BA">
        <w:rPr>
          <w:color w:val="000000" w:themeColor="text1"/>
        </w:rPr>
        <w:t xml:space="preserve">to discrimination events. Thus, gender-expansive early years practice welcomes the flowing intra-category gender </w:t>
      </w:r>
      <w:r w:rsidRPr="00F731BA">
        <w:rPr>
          <w:iCs/>
          <w:color w:val="000000" w:themeColor="text1"/>
        </w:rPr>
        <w:t xml:space="preserve">expression diversity among all children, and </w:t>
      </w:r>
      <w:r w:rsidR="00655266" w:rsidRPr="00F731BA">
        <w:rPr>
          <w:iCs/>
          <w:color w:val="000000" w:themeColor="text1"/>
        </w:rPr>
        <w:t>actively sustains the possibility that any child might come to know themself as transgender</w:t>
      </w:r>
      <w:r w:rsidRPr="00F731BA">
        <w:rPr>
          <w:iCs/>
          <w:color w:val="000000" w:themeColor="text1"/>
        </w:rPr>
        <w:t xml:space="preserve">. </w:t>
      </w:r>
    </w:p>
    <w:p w14:paraId="6FF70D41" w14:textId="30262494" w:rsidR="000E03BE" w:rsidRPr="00F731BA" w:rsidRDefault="000E03BE" w:rsidP="00280A05">
      <w:pPr>
        <w:widowControl w:val="0"/>
        <w:spacing w:line="240" w:lineRule="auto"/>
        <w:rPr>
          <w:color w:val="000000" w:themeColor="text1"/>
        </w:rPr>
      </w:pPr>
      <w:r w:rsidRPr="00F731BA">
        <w:rPr>
          <w:color w:val="000000" w:themeColor="text1"/>
        </w:rPr>
        <w:t xml:space="preserve"> </w:t>
      </w:r>
      <w:r w:rsidRPr="00F731BA">
        <w:rPr>
          <w:color w:val="000000" w:themeColor="text1"/>
        </w:rPr>
        <w:tab/>
        <w:t>The ELECT document is a guide for curriculum development and delivery in early childhood settings. It complement</w:t>
      </w:r>
      <w:r w:rsidR="00043E6E" w:rsidRPr="00F731BA">
        <w:rPr>
          <w:color w:val="000000" w:themeColor="text1"/>
        </w:rPr>
        <w:t>s</w:t>
      </w:r>
      <w:r w:rsidRPr="00F731BA">
        <w:rPr>
          <w:color w:val="000000" w:themeColor="text1"/>
        </w:rPr>
        <w:t xml:space="preserve"> the</w:t>
      </w:r>
      <w:r w:rsidR="00280A05" w:rsidRPr="00F731BA">
        <w:rPr>
          <w:color w:val="000000" w:themeColor="text1"/>
        </w:rPr>
        <w:t xml:space="preserve"> </w:t>
      </w:r>
      <w:r w:rsidR="00280A05" w:rsidRPr="00F731BA">
        <w:rPr>
          <w:i/>
          <w:iCs/>
          <w:color w:val="000000" w:themeColor="text1"/>
        </w:rPr>
        <w:t>Child Care and Early Years Act</w:t>
      </w:r>
      <w:r w:rsidR="00280A05" w:rsidRPr="00F731BA">
        <w:rPr>
          <w:color w:val="000000" w:themeColor="text1"/>
        </w:rPr>
        <w:t xml:space="preserve"> (previously </w:t>
      </w:r>
      <w:r w:rsidR="00280A05" w:rsidRPr="00F731BA">
        <w:rPr>
          <w:i/>
          <w:iCs/>
          <w:color w:val="000000" w:themeColor="text1"/>
        </w:rPr>
        <w:t>Ontario Day Nurseries Act)</w:t>
      </w:r>
      <w:r w:rsidRPr="00F731BA">
        <w:rPr>
          <w:color w:val="000000" w:themeColor="text1"/>
        </w:rPr>
        <w:t xml:space="preserve">, </w:t>
      </w:r>
      <w:r w:rsidRPr="00F731BA">
        <w:rPr>
          <w:i/>
          <w:color w:val="000000" w:themeColor="text1"/>
        </w:rPr>
        <w:t>Ontario Early Years Centre Guidelines</w:t>
      </w:r>
      <w:r w:rsidRPr="00F731BA">
        <w:rPr>
          <w:color w:val="000000" w:themeColor="text1"/>
        </w:rPr>
        <w:t xml:space="preserve"> and the </w:t>
      </w:r>
      <w:r w:rsidRPr="00F731BA">
        <w:rPr>
          <w:i/>
          <w:color w:val="000000" w:themeColor="text1"/>
        </w:rPr>
        <w:t>Kindergarten Program</w:t>
      </w:r>
      <w:r w:rsidRPr="00F731BA">
        <w:rPr>
          <w:color w:val="000000" w:themeColor="text1"/>
        </w:rPr>
        <w:t xml:space="preserve"> (</w:t>
      </w:r>
      <w:r w:rsidR="00C42E55" w:rsidRPr="00F731BA">
        <w:rPr>
          <w:color w:val="000000" w:themeColor="text1"/>
          <w:highlight w:val="white"/>
        </w:rPr>
        <w:t>BSEP</w:t>
      </w:r>
      <w:r w:rsidR="00CF5A38" w:rsidRPr="00F731BA">
        <w:rPr>
          <w:color w:val="000000" w:themeColor="text1"/>
          <w:highlight w:val="white"/>
        </w:rPr>
        <w:t>,</w:t>
      </w:r>
      <w:r w:rsidRPr="00F731BA">
        <w:rPr>
          <w:color w:val="000000" w:themeColor="text1"/>
          <w:highlight w:val="white"/>
        </w:rPr>
        <w:t xml:space="preserve"> 2007</w:t>
      </w:r>
      <w:r w:rsidRPr="00F731BA">
        <w:rPr>
          <w:color w:val="000000" w:themeColor="text1"/>
        </w:rPr>
        <w:t>), but is recognized as the foundational document in the Ontario early years sector (OMOE</w:t>
      </w:r>
      <w:r w:rsidR="00CF5A38" w:rsidRPr="00F731BA">
        <w:rPr>
          <w:color w:val="000000" w:themeColor="text1"/>
        </w:rPr>
        <w:t>,</w:t>
      </w:r>
      <w:r w:rsidRPr="00F731BA">
        <w:rPr>
          <w:color w:val="000000" w:themeColor="text1"/>
        </w:rPr>
        <w:t xml:space="preserve"> 2014). Whereas </w:t>
      </w:r>
      <w:r w:rsidR="008A0179" w:rsidRPr="00F731BA">
        <w:rPr>
          <w:color w:val="000000" w:themeColor="text1"/>
        </w:rPr>
        <w:t xml:space="preserve">the purpose of </w:t>
      </w:r>
      <w:r w:rsidRPr="00F731BA">
        <w:rPr>
          <w:color w:val="000000" w:themeColor="text1"/>
        </w:rPr>
        <w:t xml:space="preserve">ELECT </w:t>
      </w:r>
      <w:r w:rsidR="008A0179" w:rsidRPr="00F731BA">
        <w:rPr>
          <w:color w:val="000000" w:themeColor="text1"/>
        </w:rPr>
        <w:t xml:space="preserve">is to </w:t>
      </w:r>
      <w:r w:rsidRPr="00F731BA">
        <w:rPr>
          <w:color w:val="000000" w:themeColor="text1"/>
        </w:rPr>
        <w:t xml:space="preserve">guide early years curriculum, HDLH </w:t>
      </w:r>
      <w:r w:rsidR="00436A5B" w:rsidRPr="00F731BA">
        <w:rPr>
          <w:color w:val="000000" w:themeColor="text1"/>
        </w:rPr>
        <w:t>(OMOE</w:t>
      </w:r>
      <w:r w:rsidR="002606E6" w:rsidRPr="00F731BA">
        <w:rPr>
          <w:color w:val="000000" w:themeColor="text1"/>
        </w:rPr>
        <w:t>,</w:t>
      </w:r>
      <w:r w:rsidR="00436A5B" w:rsidRPr="00F731BA">
        <w:rPr>
          <w:color w:val="000000" w:themeColor="text1"/>
        </w:rPr>
        <w:t xml:space="preserve"> 2014) </w:t>
      </w:r>
      <w:r w:rsidRPr="00F731BA">
        <w:rPr>
          <w:color w:val="000000" w:themeColor="text1"/>
        </w:rPr>
        <w:t>guides pedagogy – approaches to teaching and learning – in Ontario early years centres. All licensed childcare program mission statements in Ontario must be consistent with HDLH. HDLH identifies four foundations of learning: belonging, well-being, engagement and expression. The</w:t>
      </w:r>
      <w:r w:rsidR="00440569" w:rsidRPr="00F731BA">
        <w:rPr>
          <w:color w:val="000000" w:themeColor="text1"/>
        </w:rPr>
        <w:t xml:space="preserve"> </w:t>
      </w:r>
      <w:r w:rsidRPr="00F731BA">
        <w:rPr>
          <w:color w:val="000000" w:themeColor="text1"/>
        </w:rPr>
        <w:t xml:space="preserve">foundations </w:t>
      </w:r>
      <w:r w:rsidR="00440569" w:rsidRPr="00F731BA">
        <w:rPr>
          <w:color w:val="000000" w:themeColor="text1"/>
        </w:rPr>
        <w:t>“</w:t>
      </w:r>
      <w:r w:rsidRPr="00F731BA">
        <w:rPr>
          <w:color w:val="000000" w:themeColor="text1"/>
        </w:rPr>
        <w:t>apply regardless of age, ability, culture, language, geography, or setting</w:t>
      </w:r>
      <w:r w:rsidR="00440569" w:rsidRPr="00F731BA">
        <w:rPr>
          <w:color w:val="000000" w:themeColor="text1"/>
        </w:rPr>
        <w:t>”</w:t>
      </w:r>
      <w:r w:rsidRPr="00F731BA">
        <w:rPr>
          <w:color w:val="000000" w:themeColor="text1"/>
        </w:rPr>
        <w:t xml:space="preserve"> (</w:t>
      </w:r>
      <w:r w:rsidR="00F7061D" w:rsidRPr="00F731BA">
        <w:rPr>
          <w:color w:val="000000" w:themeColor="text1"/>
        </w:rPr>
        <w:t xml:space="preserve">p. </w:t>
      </w:r>
      <w:r w:rsidRPr="00F731BA">
        <w:rPr>
          <w:color w:val="000000" w:themeColor="text1"/>
        </w:rPr>
        <w:t xml:space="preserve">7), and regardless of gender identity or gender expression. </w:t>
      </w:r>
    </w:p>
    <w:p w14:paraId="7D7E778C" w14:textId="53FA7E2C" w:rsidR="008A0179" w:rsidRPr="00F731BA" w:rsidRDefault="008A0179" w:rsidP="00280A05">
      <w:pPr>
        <w:widowControl w:val="0"/>
        <w:spacing w:line="240" w:lineRule="auto"/>
        <w:rPr>
          <w:color w:val="000000" w:themeColor="text1"/>
        </w:rPr>
      </w:pPr>
      <w:r w:rsidRPr="00F731BA">
        <w:rPr>
          <w:color w:val="000000" w:themeColor="text1"/>
        </w:rPr>
        <w:tab/>
        <w:t xml:space="preserve">In is important to note that there is some confusion within the early years sector in regard to how ELECT (intended to guide curriculum) and HDLH (intended to guide pedagogy) guide practice given that ELECT is rooted in developmentalism and HDLD, in contrast holds a broader relational view of children. Thus, it important that educators (and researchers) reflect on the challenges associated with delineating curriculum and pedagogy, and </w:t>
      </w:r>
      <w:r w:rsidR="00946C38" w:rsidRPr="00F731BA">
        <w:rPr>
          <w:color w:val="000000" w:themeColor="text1"/>
        </w:rPr>
        <w:t>analyse and reflect on</w:t>
      </w:r>
      <w:r w:rsidRPr="00F731BA">
        <w:rPr>
          <w:color w:val="000000" w:themeColor="text1"/>
        </w:rPr>
        <w:t xml:space="preserve"> the multiple perspectives that </w:t>
      </w:r>
      <w:r w:rsidR="00946C38" w:rsidRPr="00F731BA">
        <w:rPr>
          <w:color w:val="000000" w:themeColor="text1"/>
        </w:rPr>
        <w:t>can and do</w:t>
      </w:r>
      <w:r w:rsidRPr="00F731BA">
        <w:rPr>
          <w:color w:val="000000" w:themeColor="text1"/>
        </w:rPr>
        <w:t xml:space="preserve"> guide </w:t>
      </w:r>
      <w:r w:rsidR="00946C38" w:rsidRPr="00F731BA">
        <w:rPr>
          <w:color w:val="000000" w:themeColor="text1"/>
        </w:rPr>
        <w:t xml:space="preserve">our interactions with young children as they pertain to gender expansive practices. </w:t>
      </w:r>
    </w:p>
    <w:p w14:paraId="73C45FCF" w14:textId="1641A1F9" w:rsidR="000E03BE" w:rsidRPr="00F731BA" w:rsidRDefault="000E03BE" w:rsidP="00B627E0">
      <w:pPr>
        <w:widowControl w:val="0"/>
        <w:spacing w:line="240" w:lineRule="auto"/>
        <w:ind w:firstLine="720"/>
        <w:rPr>
          <w:bCs/>
          <w:color w:val="000000" w:themeColor="text1"/>
        </w:rPr>
      </w:pPr>
      <w:r w:rsidRPr="00F731BA">
        <w:rPr>
          <w:color w:val="000000" w:themeColor="text1"/>
        </w:rPr>
        <w:t xml:space="preserve">In the following section, ELECT and HDLH </w:t>
      </w:r>
      <w:r w:rsidR="00950B99" w:rsidRPr="00F731BA">
        <w:rPr>
          <w:color w:val="000000" w:themeColor="text1"/>
        </w:rPr>
        <w:t xml:space="preserve">is analysed </w:t>
      </w:r>
      <w:r w:rsidRPr="00F731BA">
        <w:rPr>
          <w:color w:val="000000" w:themeColor="text1"/>
        </w:rPr>
        <w:t xml:space="preserve">through the conceptual framework for gender-expansive early years practice developed in the first half of the article, resulting in three broad themes: </w:t>
      </w:r>
      <w:r w:rsidR="00914BAE" w:rsidRPr="00F731BA">
        <w:rPr>
          <w:color w:val="000000" w:themeColor="text1"/>
        </w:rPr>
        <w:t>(</w:t>
      </w:r>
      <w:r w:rsidRPr="00F731BA">
        <w:rPr>
          <w:color w:val="000000" w:themeColor="text1"/>
        </w:rPr>
        <w:t xml:space="preserve">1) </w:t>
      </w:r>
      <w:r w:rsidR="00436A5B" w:rsidRPr="00F731BA">
        <w:rPr>
          <w:color w:val="000000" w:themeColor="text1"/>
        </w:rPr>
        <w:t xml:space="preserve">supporting </w:t>
      </w:r>
      <w:r w:rsidRPr="00F731BA">
        <w:rPr>
          <w:color w:val="000000" w:themeColor="text1"/>
        </w:rPr>
        <w:t xml:space="preserve">belonging, well-being, and gender identity development through relationships; </w:t>
      </w:r>
      <w:r w:rsidR="00914BAE" w:rsidRPr="00F731BA">
        <w:rPr>
          <w:color w:val="000000" w:themeColor="text1"/>
        </w:rPr>
        <w:t>(</w:t>
      </w:r>
      <w:r w:rsidRPr="00F731BA">
        <w:rPr>
          <w:color w:val="000000" w:themeColor="text1"/>
        </w:rPr>
        <w:t xml:space="preserve">2) reducing discrimination by fostering expression; and </w:t>
      </w:r>
      <w:r w:rsidR="00914BAE" w:rsidRPr="00F731BA">
        <w:rPr>
          <w:color w:val="000000" w:themeColor="text1"/>
        </w:rPr>
        <w:t>(</w:t>
      </w:r>
      <w:r w:rsidRPr="00F731BA">
        <w:rPr>
          <w:color w:val="000000" w:themeColor="text1"/>
        </w:rPr>
        <w:t>3)</w:t>
      </w:r>
      <w:r w:rsidRPr="00F731BA">
        <w:rPr>
          <w:b/>
          <w:color w:val="000000" w:themeColor="text1"/>
        </w:rPr>
        <w:t xml:space="preserve"> </w:t>
      </w:r>
      <w:r w:rsidRPr="00F731BA">
        <w:rPr>
          <w:bCs/>
          <w:color w:val="000000" w:themeColor="text1"/>
        </w:rPr>
        <w:t>a planned play-based curriculum is powerful for cultivating curiosity</w:t>
      </w:r>
      <w:r w:rsidR="00436A5B" w:rsidRPr="00F731BA">
        <w:rPr>
          <w:bCs/>
          <w:color w:val="000000" w:themeColor="text1"/>
        </w:rPr>
        <w:t xml:space="preserve"> and affirming gender diversity</w:t>
      </w:r>
      <w:r w:rsidRPr="00F731BA">
        <w:rPr>
          <w:bCs/>
          <w:color w:val="000000" w:themeColor="text1"/>
        </w:rPr>
        <w:t>.</w:t>
      </w:r>
    </w:p>
    <w:p w14:paraId="6EEF8E91" w14:textId="77777777" w:rsidR="00440569" w:rsidRPr="00F731BA" w:rsidRDefault="00440569" w:rsidP="00B627E0">
      <w:pPr>
        <w:widowControl w:val="0"/>
        <w:spacing w:line="240" w:lineRule="auto"/>
        <w:ind w:firstLine="720"/>
        <w:rPr>
          <w:bCs/>
          <w:color w:val="000000" w:themeColor="text1"/>
        </w:rPr>
      </w:pPr>
    </w:p>
    <w:p w14:paraId="057183A1" w14:textId="765DC51C" w:rsidR="00440569" w:rsidRPr="00F731BA" w:rsidRDefault="000E03BE" w:rsidP="00B627E0">
      <w:pPr>
        <w:widowControl w:val="0"/>
        <w:spacing w:line="240" w:lineRule="auto"/>
        <w:rPr>
          <w:b/>
          <w:i/>
          <w:iCs/>
          <w:color w:val="000000" w:themeColor="text1"/>
        </w:rPr>
      </w:pPr>
      <w:r w:rsidRPr="00F731BA">
        <w:rPr>
          <w:b/>
          <w:i/>
          <w:iCs/>
          <w:color w:val="000000" w:themeColor="text1"/>
        </w:rPr>
        <w:t>Theme 1: Supporting belonging, well-being, and gender identity development through relationships</w:t>
      </w:r>
    </w:p>
    <w:p w14:paraId="5B98874D" w14:textId="43C88E88" w:rsidR="000E03BE" w:rsidRPr="00F731BA" w:rsidRDefault="000E03BE" w:rsidP="00B627E0">
      <w:pPr>
        <w:widowControl w:val="0"/>
        <w:spacing w:line="240" w:lineRule="auto"/>
        <w:rPr>
          <w:color w:val="000000" w:themeColor="text1"/>
        </w:rPr>
      </w:pPr>
      <w:r w:rsidRPr="00F731BA">
        <w:rPr>
          <w:b/>
          <w:color w:val="000000" w:themeColor="text1"/>
        </w:rPr>
        <w:lastRenderedPageBreak/>
        <w:tab/>
      </w:r>
      <w:r w:rsidRPr="00F731BA">
        <w:rPr>
          <w:color w:val="000000" w:themeColor="text1"/>
        </w:rPr>
        <w:t xml:space="preserve">Both ELECT and HDLH emphasize the relational character of healthy early childhoods. The ecology of support in which each child is embedded includes relationships between ECEs and family members, between ECEs and children, between children and their family members, and among children themselves. Supporting children means supporting these relationships, and ELECT’s second principle highlights this: </w:t>
      </w:r>
      <w:r w:rsidR="00F7061D" w:rsidRPr="00F731BA">
        <w:rPr>
          <w:color w:val="000000" w:themeColor="text1"/>
        </w:rPr>
        <w:t>“</w:t>
      </w:r>
      <w:r w:rsidRPr="00F731BA">
        <w:rPr>
          <w:color w:val="000000" w:themeColor="text1"/>
        </w:rPr>
        <w:t>[p]artnerships with families and communities strengthen the ability of early childhood settings to meet the needs of young children</w:t>
      </w:r>
      <w:r w:rsidR="00F7061D" w:rsidRPr="00F731BA">
        <w:rPr>
          <w:color w:val="000000" w:themeColor="text1"/>
        </w:rPr>
        <w:t>”</w:t>
      </w:r>
      <w:r w:rsidRPr="00F731BA">
        <w:rPr>
          <w:color w:val="000000" w:themeColor="text1"/>
        </w:rPr>
        <w:t xml:space="preserve"> (</w:t>
      </w:r>
      <w:r w:rsidR="00C42E55" w:rsidRPr="00F731BA">
        <w:rPr>
          <w:color w:val="000000" w:themeColor="text1"/>
          <w:highlight w:val="white"/>
        </w:rPr>
        <w:t>BSEP</w:t>
      </w:r>
      <w:r w:rsidR="002606E6" w:rsidRPr="00F731BA">
        <w:rPr>
          <w:color w:val="000000" w:themeColor="text1"/>
          <w:highlight w:val="white"/>
        </w:rPr>
        <w:t>,</w:t>
      </w:r>
      <w:r w:rsidRPr="00F731BA">
        <w:rPr>
          <w:color w:val="000000" w:themeColor="text1"/>
          <w:highlight w:val="white"/>
        </w:rPr>
        <w:t xml:space="preserve"> 2007</w:t>
      </w:r>
      <w:r w:rsidR="00B40346" w:rsidRPr="00F731BA">
        <w:rPr>
          <w:color w:val="000000" w:themeColor="text1"/>
        </w:rPr>
        <w:t>:</w:t>
      </w:r>
      <w:r w:rsidR="00914BAE" w:rsidRPr="00F731BA">
        <w:rPr>
          <w:color w:val="000000" w:themeColor="text1"/>
        </w:rPr>
        <w:t xml:space="preserve"> </w:t>
      </w:r>
      <w:r w:rsidR="00F7061D" w:rsidRPr="00F731BA">
        <w:rPr>
          <w:color w:val="000000" w:themeColor="text1"/>
        </w:rPr>
        <w:t xml:space="preserve">p. </w:t>
      </w:r>
      <w:r w:rsidRPr="00F731BA">
        <w:rPr>
          <w:color w:val="000000" w:themeColor="text1"/>
        </w:rPr>
        <w:t xml:space="preserve">5). HLDH emphatically asserts that </w:t>
      </w:r>
      <w:r w:rsidR="00F7061D" w:rsidRPr="00F731BA">
        <w:rPr>
          <w:color w:val="000000" w:themeColor="text1"/>
        </w:rPr>
        <w:t>“</w:t>
      </w:r>
      <w:r w:rsidRPr="00F731BA">
        <w:rPr>
          <w:color w:val="000000" w:themeColor="text1"/>
        </w:rPr>
        <w:t>[f]ostering good relationships with children and their families is the single most important priority for educators in early years programs</w:t>
      </w:r>
      <w:r w:rsidR="00F7061D" w:rsidRPr="00F731BA">
        <w:rPr>
          <w:color w:val="000000" w:themeColor="text1"/>
        </w:rPr>
        <w:t>”</w:t>
      </w:r>
      <w:r w:rsidRPr="00F731BA">
        <w:rPr>
          <w:color w:val="000000" w:themeColor="text1"/>
        </w:rPr>
        <w:t xml:space="preserve"> (OMOE</w:t>
      </w:r>
      <w:r w:rsidR="002606E6" w:rsidRPr="00F731BA">
        <w:rPr>
          <w:color w:val="000000" w:themeColor="text1"/>
        </w:rPr>
        <w:t>,</w:t>
      </w:r>
      <w:r w:rsidRPr="00F731BA">
        <w:rPr>
          <w:color w:val="000000" w:themeColor="text1"/>
        </w:rPr>
        <w:t xml:space="preserve"> 2014</w:t>
      </w:r>
      <w:r w:rsidR="00B40346" w:rsidRPr="00F731BA">
        <w:rPr>
          <w:color w:val="000000" w:themeColor="text1"/>
        </w:rPr>
        <w:t>:</w:t>
      </w:r>
      <w:r w:rsidRPr="00F731BA">
        <w:rPr>
          <w:color w:val="000000" w:themeColor="text1"/>
        </w:rPr>
        <w:t xml:space="preserve"> </w:t>
      </w:r>
      <w:r w:rsidR="00F7061D" w:rsidRPr="00F731BA">
        <w:rPr>
          <w:color w:val="000000" w:themeColor="text1"/>
        </w:rPr>
        <w:t xml:space="preserve">p. </w:t>
      </w:r>
      <w:r w:rsidRPr="00F731BA">
        <w:rPr>
          <w:color w:val="000000" w:themeColor="text1"/>
        </w:rPr>
        <w:t>24).</w:t>
      </w:r>
    </w:p>
    <w:p w14:paraId="058B89F1" w14:textId="1A7C5464" w:rsidR="000E03BE" w:rsidRPr="00F731BA" w:rsidRDefault="001653E8" w:rsidP="00B627E0">
      <w:pPr>
        <w:widowControl w:val="0"/>
        <w:spacing w:line="240" w:lineRule="auto"/>
        <w:ind w:firstLine="720"/>
        <w:rPr>
          <w:color w:val="000000" w:themeColor="text1"/>
        </w:rPr>
      </w:pPr>
      <w:r w:rsidRPr="00F731BA">
        <w:rPr>
          <w:color w:val="000000" w:themeColor="text1"/>
        </w:rPr>
        <w:t xml:space="preserve">Despite taking a more developmentalist perspective to early years education, </w:t>
      </w:r>
      <w:r w:rsidR="000E03BE" w:rsidRPr="00F731BA">
        <w:rPr>
          <w:color w:val="000000" w:themeColor="text1"/>
        </w:rPr>
        <w:t xml:space="preserve">ELECT recognizes that </w:t>
      </w:r>
      <w:r w:rsidR="00F7061D" w:rsidRPr="00F731BA">
        <w:rPr>
          <w:color w:val="000000" w:themeColor="text1"/>
        </w:rPr>
        <w:t>“</w:t>
      </w:r>
      <w:r w:rsidR="000E03BE" w:rsidRPr="00F731BA">
        <w:rPr>
          <w:color w:val="000000" w:themeColor="text1"/>
        </w:rPr>
        <w:t>[f]</w:t>
      </w:r>
      <w:proofErr w:type="spellStart"/>
      <w:r w:rsidR="000E03BE" w:rsidRPr="00F731BA">
        <w:rPr>
          <w:color w:val="000000" w:themeColor="text1"/>
        </w:rPr>
        <w:t>amilies</w:t>
      </w:r>
      <w:proofErr w:type="spellEnd"/>
      <w:r w:rsidR="000E03BE" w:rsidRPr="00F731BA">
        <w:rPr>
          <w:color w:val="000000" w:themeColor="text1"/>
        </w:rPr>
        <w:t xml:space="preserve"> live in, and belong to, multiple communities that may </w:t>
      </w:r>
      <w:r w:rsidR="000E03BE" w:rsidRPr="00F731BA">
        <w:rPr>
          <w:iCs/>
          <w:color w:val="000000" w:themeColor="text1"/>
        </w:rPr>
        <w:t>support or thwart their ability to support young children’s optimal development</w:t>
      </w:r>
      <w:r w:rsidR="00F7061D" w:rsidRPr="00F731BA">
        <w:rPr>
          <w:color w:val="000000" w:themeColor="text1"/>
        </w:rPr>
        <w:t>”</w:t>
      </w:r>
      <w:r w:rsidR="000E03BE" w:rsidRPr="00F731BA">
        <w:rPr>
          <w:color w:val="000000" w:themeColor="text1"/>
        </w:rPr>
        <w:t xml:space="preserve"> (</w:t>
      </w:r>
      <w:r w:rsidR="00C42E55" w:rsidRPr="00F731BA">
        <w:rPr>
          <w:color w:val="000000" w:themeColor="text1"/>
          <w:highlight w:val="white"/>
        </w:rPr>
        <w:t>BSEP</w:t>
      </w:r>
      <w:r w:rsidR="002606E6" w:rsidRPr="00F731BA">
        <w:rPr>
          <w:color w:val="000000" w:themeColor="text1"/>
          <w:highlight w:val="white"/>
        </w:rPr>
        <w:t>,</w:t>
      </w:r>
      <w:r w:rsidR="000E03BE" w:rsidRPr="00F731BA">
        <w:rPr>
          <w:color w:val="000000" w:themeColor="text1"/>
          <w:highlight w:val="white"/>
        </w:rPr>
        <w:t xml:space="preserve"> 2007</w:t>
      </w:r>
      <w:r w:rsidR="00B40346" w:rsidRPr="00F731BA">
        <w:rPr>
          <w:color w:val="000000" w:themeColor="text1"/>
        </w:rPr>
        <w:t>:</w:t>
      </w:r>
      <w:r w:rsidR="00914BAE" w:rsidRPr="00F731BA">
        <w:rPr>
          <w:color w:val="000000" w:themeColor="text1"/>
        </w:rPr>
        <w:t xml:space="preserve"> </w:t>
      </w:r>
      <w:r w:rsidR="00F7061D" w:rsidRPr="00F731BA">
        <w:rPr>
          <w:color w:val="000000" w:themeColor="text1"/>
        </w:rPr>
        <w:t xml:space="preserve">p. </w:t>
      </w:r>
      <w:r w:rsidR="000E03BE" w:rsidRPr="00F731BA">
        <w:rPr>
          <w:color w:val="000000" w:themeColor="text1"/>
        </w:rPr>
        <w:t>9). Transgender children whose gender identities are affirmed by their family members are virtually indistinguishable from cisgender children using common markers of mental health (Olson et al.</w:t>
      </w:r>
      <w:r w:rsidR="002606E6" w:rsidRPr="00F731BA">
        <w:rPr>
          <w:color w:val="000000" w:themeColor="text1"/>
        </w:rPr>
        <w:t>,</w:t>
      </w:r>
      <w:r w:rsidR="000E03BE" w:rsidRPr="00F731BA">
        <w:rPr>
          <w:color w:val="000000" w:themeColor="text1"/>
        </w:rPr>
        <w:t xml:space="preserve"> 2016). Conversely, as previous</w:t>
      </w:r>
      <w:r w:rsidR="00C67399" w:rsidRPr="00F731BA">
        <w:rPr>
          <w:color w:val="000000" w:themeColor="text1"/>
        </w:rPr>
        <w:t>ly</w:t>
      </w:r>
      <w:r w:rsidR="000E03BE" w:rsidRPr="00F731BA">
        <w:rPr>
          <w:color w:val="000000" w:themeColor="text1"/>
        </w:rPr>
        <w:t xml:space="preserve"> </w:t>
      </w:r>
      <w:r w:rsidR="00C67399" w:rsidRPr="00F731BA">
        <w:rPr>
          <w:color w:val="000000" w:themeColor="text1"/>
        </w:rPr>
        <w:t>discussed</w:t>
      </w:r>
      <w:r w:rsidR="000E03BE" w:rsidRPr="00F731BA">
        <w:rPr>
          <w:color w:val="000000" w:themeColor="text1"/>
        </w:rPr>
        <w:t>,</w:t>
      </w:r>
      <w:r w:rsidR="00C67399" w:rsidRPr="00F731BA">
        <w:rPr>
          <w:color w:val="000000" w:themeColor="text1"/>
        </w:rPr>
        <w:t xml:space="preserve"> </w:t>
      </w:r>
      <w:r w:rsidR="000E03BE" w:rsidRPr="00F731BA">
        <w:rPr>
          <w:color w:val="000000" w:themeColor="text1"/>
        </w:rPr>
        <w:t xml:space="preserve">parental </w:t>
      </w:r>
      <w:r w:rsidR="00C67399" w:rsidRPr="00F731BA">
        <w:rPr>
          <w:color w:val="000000" w:themeColor="text1"/>
        </w:rPr>
        <w:t>dis</w:t>
      </w:r>
      <w:r w:rsidR="000E03BE" w:rsidRPr="00F731BA">
        <w:rPr>
          <w:color w:val="000000" w:themeColor="text1"/>
        </w:rPr>
        <w:t>affirmation places transgender child</w:t>
      </w:r>
      <w:r w:rsidR="00C67399" w:rsidRPr="00F731BA">
        <w:rPr>
          <w:color w:val="000000" w:themeColor="text1"/>
        </w:rPr>
        <w:t>ren</w:t>
      </w:r>
      <w:r w:rsidR="000E03BE" w:rsidRPr="00F731BA">
        <w:rPr>
          <w:color w:val="000000" w:themeColor="text1"/>
        </w:rPr>
        <w:t xml:space="preserve"> or adolescent</w:t>
      </w:r>
      <w:r w:rsidR="00C67399" w:rsidRPr="00F731BA">
        <w:rPr>
          <w:color w:val="000000" w:themeColor="text1"/>
        </w:rPr>
        <w:t>s</w:t>
      </w:r>
      <w:r w:rsidR="000E03BE" w:rsidRPr="00F731BA">
        <w:rPr>
          <w:color w:val="000000" w:themeColor="text1"/>
        </w:rPr>
        <w:t xml:space="preserve"> at a significant mental health risk. Children who are gender non-conforming but not necessarily transgender (e.g., boys perceived to be somehow </w:t>
      </w:r>
      <w:r w:rsidR="00F7061D" w:rsidRPr="00F731BA">
        <w:rPr>
          <w:color w:val="000000" w:themeColor="text1"/>
        </w:rPr>
        <w:t>“</w:t>
      </w:r>
      <w:r w:rsidR="000E03BE" w:rsidRPr="00F731BA">
        <w:rPr>
          <w:color w:val="000000" w:themeColor="text1"/>
        </w:rPr>
        <w:t>feminine</w:t>
      </w:r>
      <w:r w:rsidR="00F7061D" w:rsidRPr="00F731BA">
        <w:rPr>
          <w:color w:val="000000" w:themeColor="text1"/>
        </w:rPr>
        <w:t>”</w:t>
      </w:r>
      <w:r w:rsidR="000E03BE" w:rsidRPr="00F731BA">
        <w:rPr>
          <w:color w:val="000000" w:themeColor="text1"/>
        </w:rPr>
        <w:t xml:space="preserve"> or girls perceived to be somehow </w:t>
      </w:r>
      <w:r w:rsidR="00F7061D" w:rsidRPr="00F731BA">
        <w:rPr>
          <w:color w:val="000000" w:themeColor="text1"/>
        </w:rPr>
        <w:t>“</w:t>
      </w:r>
      <w:r w:rsidR="000E03BE" w:rsidRPr="00F731BA">
        <w:rPr>
          <w:color w:val="000000" w:themeColor="text1"/>
        </w:rPr>
        <w:t>masculine</w:t>
      </w:r>
      <w:r w:rsidR="00F7061D" w:rsidRPr="00F731BA">
        <w:rPr>
          <w:color w:val="000000" w:themeColor="text1"/>
        </w:rPr>
        <w:t>”</w:t>
      </w:r>
      <w:r w:rsidR="000E03BE" w:rsidRPr="00F731BA">
        <w:rPr>
          <w:color w:val="000000" w:themeColor="text1"/>
        </w:rPr>
        <w:t xml:space="preserve">) may also experience the erosion of their parent or guardian relationships when the latter become focused on </w:t>
      </w:r>
      <w:r w:rsidR="00F7061D" w:rsidRPr="00F731BA">
        <w:rPr>
          <w:color w:val="000000" w:themeColor="text1"/>
        </w:rPr>
        <w:t>“</w:t>
      </w:r>
      <w:r w:rsidR="000E03BE" w:rsidRPr="00F731BA">
        <w:rPr>
          <w:color w:val="000000" w:themeColor="text1"/>
        </w:rPr>
        <w:t>correcting</w:t>
      </w:r>
      <w:r w:rsidR="00F7061D" w:rsidRPr="00F731BA">
        <w:rPr>
          <w:color w:val="000000" w:themeColor="text1"/>
        </w:rPr>
        <w:t>”</w:t>
      </w:r>
      <w:r w:rsidR="004E2453" w:rsidRPr="00F731BA">
        <w:rPr>
          <w:color w:val="000000" w:themeColor="text1"/>
        </w:rPr>
        <w:t xml:space="preserve"> </w:t>
      </w:r>
      <w:r w:rsidR="000E03BE" w:rsidRPr="00F731BA">
        <w:rPr>
          <w:color w:val="000000" w:themeColor="text1"/>
        </w:rPr>
        <w:t>their gender</w:t>
      </w:r>
      <w:r w:rsidR="003A4177" w:rsidRPr="00F731BA">
        <w:rPr>
          <w:color w:val="000000" w:themeColor="text1"/>
        </w:rPr>
        <w:t xml:space="preserve"> expression</w:t>
      </w:r>
      <w:r w:rsidR="000E03BE" w:rsidRPr="00F731BA">
        <w:rPr>
          <w:color w:val="000000" w:themeColor="text1"/>
        </w:rPr>
        <w:t xml:space="preserve">. </w:t>
      </w:r>
    </w:p>
    <w:p w14:paraId="5537846B" w14:textId="5EBA381D" w:rsidR="000E03BE" w:rsidRPr="00F731BA" w:rsidRDefault="000E03BE" w:rsidP="00B627E0">
      <w:pPr>
        <w:widowControl w:val="0"/>
        <w:spacing w:line="240" w:lineRule="auto"/>
        <w:ind w:firstLine="720"/>
        <w:rPr>
          <w:color w:val="000000" w:themeColor="text1"/>
        </w:rPr>
      </w:pPr>
      <w:r w:rsidRPr="00F731BA">
        <w:rPr>
          <w:color w:val="000000" w:themeColor="text1"/>
        </w:rPr>
        <w:t xml:space="preserve">ECEs are well-placed to offer accurate information and strategies for supporting all children’s healthy gender identity development and gender expression, particularly </w:t>
      </w:r>
      <w:r w:rsidR="00554988" w:rsidRPr="00F731BA">
        <w:rPr>
          <w:color w:val="000000" w:themeColor="text1"/>
        </w:rPr>
        <w:t>when</w:t>
      </w:r>
      <w:r w:rsidRPr="00F731BA">
        <w:rPr>
          <w:color w:val="000000" w:themeColor="text1"/>
        </w:rPr>
        <w:t xml:space="preserve"> family members are placing their children’s well-being and the parent-child relationship at risk due to misconceptions about gender. </w:t>
      </w:r>
      <w:r w:rsidR="00554988" w:rsidRPr="00F731BA">
        <w:rPr>
          <w:color w:val="000000" w:themeColor="text1"/>
        </w:rPr>
        <w:t>K</w:t>
      </w:r>
      <w:r w:rsidRPr="00F731BA">
        <w:rPr>
          <w:color w:val="000000" w:themeColor="text1"/>
        </w:rPr>
        <w:t>nowledgeable</w:t>
      </w:r>
      <w:r w:rsidR="0083148A" w:rsidRPr="00F731BA">
        <w:rPr>
          <w:color w:val="000000" w:themeColor="text1"/>
        </w:rPr>
        <w:t xml:space="preserve"> </w:t>
      </w:r>
      <w:r w:rsidRPr="00F731BA">
        <w:rPr>
          <w:color w:val="000000" w:themeColor="text1"/>
        </w:rPr>
        <w:t>ECEs can educate parents and caregivers about childhood gender diversity</w:t>
      </w:r>
      <w:r w:rsidR="00554988" w:rsidRPr="00F731BA">
        <w:rPr>
          <w:color w:val="000000" w:themeColor="text1"/>
        </w:rPr>
        <w:t xml:space="preserve"> when families lack the knowledge of how to support their gender-creative child</w:t>
      </w:r>
      <w:r w:rsidRPr="00F731BA">
        <w:rPr>
          <w:color w:val="000000" w:themeColor="text1"/>
        </w:rPr>
        <w:t xml:space="preserve">. For example, if a parent were to express </w:t>
      </w:r>
      <w:r w:rsidR="00C83FB9" w:rsidRPr="00F731BA">
        <w:rPr>
          <w:color w:val="000000" w:themeColor="text1"/>
        </w:rPr>
        <w:t>grave</w:t>
      </w:r>
      <w:r w:rsidR="0081793E" w:rsidRPr="00F731BA">
        <w:rPr>
          <w:color w:val="000000" w:themeColor="text1"/>
        </w:rPr>
        <w:t xml:space="preserve"> </w:t>
      </w:r>
      <w:r w:rsidRPr="00F731BA">
        <w:rPr>
          <w:color w:val="000000" w:themeColor="text1"/>
        </w:rPr>
        <w:t>concern about their child’s gender non-conforming behaviour, an ECE could provide accurate information, as follows:</w:t>
      </w:r>
    </w:p>
    <w:p w14:paraId="4DDFDA9B" w14:textId="4A743C35" w:rsidR="000E03BE" w:rsidRPr="00F731BA" w:rsidRDefault="000E03BE" w:rsidP="00B627E0">
      <w:pPr>
        <w:pStyle w:val="ListParagraph"/>
        <w:widowControl w:val="0"/>
        <w:numPr>
          <w:ilvl w:val="0"/>
          <w:numId w:val="43"/>
        </w:numPr>
        <w:rPr>
          <w:color w:val="000000" w:themeColor="text1"/>
        </w:rPr>
      </w:pPr>
      <w:r w:rsidRPr="00F731BA">
        <w:rPr>
          <w:color w:val="000000" w:themeColor="text1"/>
        </w:rPr>
        <w:t xml:space="preserve">Gender non-conforming behaviour in early childhood, or at any age, is not pathological. </w:t>
      </w:r>
      <w:r w:rsidR="00393424" w:rsidRPr="00F731BA">
        <w:rPr>
          <w:color w:val="000000" w:themeColor="text1"/>
        </w:rPr>
        <w:t>It</w:t>
      </w:r>
      <w:r w:rsidRPr="00F731BA">
        <w:rPr>
          <w:color w:val="000000" w:themeColor="text1"/>
        </w:rPr>
        <w:t xml:space="preserve"> may </w:t>
      </w:r>
      <w:r w:rsidR="00393424" w:rsidRPr="00F731BA">
        <w:rPr>
          <w:color w:val="000000" w:themeColor="text1"/>
        </w:rPr>
        <w:t xml:space="preserve">or may not </w:t>
      </w:r>
      <w:r w:rsidRPr="00F731BA">
        <w:rPr>
          <w:color w:val="000000" w:themeColor="text1"/>
        </w:rPr>
        <w:t>continue beyond the early years</w:t>
      </w:r>
      <w:r w:rsidR="00393424" w:rsidRPr="00F731BA">
        <w:rPr>
          <w:color w:val="000000" w:themeColor="text1"/>
        </w:rPr>
        <w:t>,</w:t>
      </w:r>
      <w:r w:rsidRPr="00F731BA">
        <w:rPr>
          <w:color w:val="000000" w:themeColor="text1"/>
        </w:rPr>
        <w:t xml:space="preserve"> but either way gender non-conforming behaviour (or its absence) does not predict a child’s gender identity or sexual orientation.</w:t>
      </w:r>
    </w:p>
    <w:p w14:paraId="1FD24F11" w14:textId="68368CE7" w:rsidR="000E03BE" w:rsidRPr="00F731BA" w:rsidRDefault="000E03BE" w:rsidP="00B627E0">
      <w:pPr>
        <w:pStyle w:val="ListParagraph"/>
        <w:widowControl w:val="0"/>
        <w:numPr>
          <w:ilvl w:val="0"/>
          <w:numId w:val="43"/>
        </w:numPr>
        <w:spacing w:before="200"/>
        <w:rPr>
          <w:color w:val="000000" w:themeColor="text1"/>
        </w:rPr>
      </w:pPr>
      <w:r w:rsidRPr="00F731BA">
        <w:rPr>
          <w:color w:val="000000" w:themeColor="text1"/>
        </w:rPr>
        <w:t xml:space="preserve">Playing with gender is normal, healthy, and does not alter a child’s gender identity. It is impossible to alter anyone’s gender identity, at any age, whether or not they are transgender. Gender identity cannot be changed by rewarding gender-conformity or by </w:t>
      </w:r>
      <w:r w:rsidR="00E35093" w:rsidRPr="00F731BA">
        <w:rPr>
          <w:color w:val="000000" w:themeColor="text1"/>
        </w:rPr>
        <w:t xml:space="preserve">withholding support for or discouraging </w:t>
      </w:r>
      <w:r w:rsidRPr="00F731BA">
        <w:rPr>
          <w:color w:val="000000" w:themeColor="text1"/>
        </w:rPr>
        <w:t>gender non-conformity.</w:t>
      </w:r>
    </w:p>
    <w:p w14:paraId="66CCE7B2" w14:textId="75A5383B" w:rsidR="000E03BE" w:rsidRPr="00F731BA" w:rsidRDefault="000E03BE" w:rsidP="00B627E0">
      <w:pPr>
        <w:pStyle w:val="ListParagraph"/>
        <w:widowControl w:val="0"/>
        <w:numPr>
          <w:ilvl w:val="0"/>
          <w:numId w:val="43"/>
        </w:numPr>
        <w:rPr>
          <w:color w:val="000000" w:themeColor="text1"/>
        </w:rPr>
      </w:pPr>
      <w:r w:rsidRPr="00F731BA">
        <w:rPr>
          <w:color w:val="000000" w:themeColor="text1"/>
        </w:rPr>
        <w:t xml:space="preserve">Whether a child comes to identify as transgender or not, affirming how that child identifies and expresses gender </w:t>
      </w:r>
      <w:r w:rsidRPr="00F731BA">
        <w:rPr>
          <w:i/>
          <w:color w:val="000000" w:themeColor="text1"/>
        </w:rPr>
        <w:t>now</w:t>
      </w:r>
      <w:r w:rsidRPr="00F731BA">
        <w:rPr>
          <w:color w:val="000000" w:themeColor="text1"/>
        </w:rPr>
        <w:t xml:space="preserve"> leads to the best mental health and well-being outcomes. </w:t>
      </w:r>
    </w:p>
    <w:p w14:paraId="5DE19278" w14:textId="2AB0A161" w:rsidR="000E03BE" w:rsidRPr="00F731BA" w:rsidRDefault="000E03BE" w:rsidP="00B627E0">
      <w:pPr>
        <w:widowControl w:val="0"/>
        <w:spacing w:line="240" w:lineRule="auto"/>
        <w:rPr>
          <w:color w:val="000000" w:themeColor="text1"/>
        </w:rPr>
      </w:pPr>
      <w:r w:rsidRPr="00F731BA">
        <w:rPr>
          <w:color w:val="000000" w:themeColor="text1"/>
        </w:rPr>
        <w:t xml:space="preserve">ECEs can </w:t>
      </w:r>
      <w:r w:rsidR="00575987" w:rsidRPr="00F731BA">
        <w:rPr>
          <w:color w:val="000000" w:themeColor="text1"/>
        </w:rPr>
        <w:t xml:space="preserve">also </w:t>
      </w:r>
      <w:r w:rsidRPr="00F731BA">
        <w:rPr>
          <w:color w:val="000000" w:themeColor="text1"/>
        </w:rPr>
        <w:t xml:space="preserve">support relationships by encouraging family members to follow </w:t>
      </w:r>
      <w:r w:rsidR="00575987" w:rsidRPr="00F731BA">
        <w:rPr>
          <w:color w:val="000000" w:themeColor="text1"/>
        </w:rPr>
        <w:t xml:space="preserve">a </w:t>
      </w:r>
      <w:r w:rsidRPr="00F731BA">
        <w:rPr>
          <w:color w:val="000000" w:themeColor="text1"/>
        </w:rPr>
        <w:t xml:space="preserve">child's lead and avoid imposing their own views on development; this includes encouraging families not to draw excessive (even affirming) attention to gender non-conforming play or other behaviour. Similarly, ECEs should not </w:t>
      </w:r>
      <w:r w:rsidR="00DF68D2" w:rsidRPr="00F731BA">
        <w:rPr>
          <w:color w:val="000000" w:themeColor="text1"/>
        </w:rPr>
        <w:t>“</w:t>
      </w:r>
      <w:r w:rsidRPr="00F731BA">
        <w:rPr>
          <w:color w:val="000000" w:themeColor="text1"/>
        </w:rPr>
        <w:t>flag</w:t>
      </w:r>
      <w:r w:rsidR="00DF68D2" w:rsidRPr="00F731BA">
        <w:rPr>
          <w:color w:val="000000" w:themeColor="text1"/>
        </w:rPr>
        <w:t>”</w:t>
      </w:r>
      <w:r w:rsidRPr="00F731BA">
        <w:rPr>
          <w:color w:val="000000" w:themeColor="text1"/>
        </w:rPr>
        <w:t xml:space="preserve"> a child or speak to their parents based on a child’s gender-non-conforming play; this runs counter to HDLH’s guidance that ECEs </w:t>
      </w:r>
      <w:r w:rsidR="00F7061D" w:rsidRPr="00F731BA">
        <w:rPr>
          <w:color w:val="000000" w:themeColor="text1"/>
        </w:rPr>
        <w:t>“</w:t>
      </w:r>
      <w:r w:rsidRPr="00F731BA">
        <w:rPr>
          <w:color w:val="000000" w:themeColor="text1"/>
        </w:rPr>
        <w:t>[connect] with each child…recognizing and valuing his or her unique spirit, individuality, and presence</w:t>
      </w:r>
      <w:r w:rsidR="00F7061D" w:rsidRPr="00F731BA">
        <w:rPr>
          <w:color w:val="000000" w:themeColor="text1"/>
        </w:rPr>
        <w:t>”</w:t>
      </w:r>
      <w:r w:rsidRPr="00F731BA">
        <w:rPr>
          <w:color w:val="000000" w:themeColor="text1"/>
        </w:rPr>
        <w:t xml:space="preserve"> (HDLH</w:t>
      </w:r>
      <w:r w:rsidR="002606E6" w:rsidRPr="00F731BA">
        <w:rPr>
          <w:color w:val="000000" w:themeColor="text1"/>
        </w:rPr>
        <w:t>,</w:t>
      </w:r>
      <w:r w:rsidR="00F34702" w:rsidRPr="00F731BA">
        <w:rPr>
          <w:color w:val="000000" w:themeColor="text1"/>
        </w:rPr>
        <w:t xml:space="preserve"> </w:t>
      </w:r>
      <w:r w:rsidRPr="00F731BA">
        <w:rPr>
          <w:color w:val="000000" w:themeColor="text1"/>
        </w:rPr>
        <w:t>2014</w:t>
      </w:r>
      <w:r w:rsidR="00B40346" w:rsidRPr="00F731BA">
        <w:rPr>
          <w:color w:val="000000" w:themeColor="text1"/>
        </w:rPr>
        <w:t xml:space="preserve">: </w:t>
      </w:r>
      <w:r w:rsidR="00F7061D" w:rsidRPr="00F731BA">
        <w:rPr>
          <w:color w:val="000000" w:themeColor="text1"/>
        </w:rPr>
        <w:t xml:space="preserve">p. </w:t>
      </w:r>
      <w:r w:rsidRPr="00F731BA">
        <w:rPr>
          <w:color w:val="000000" w:themeColor="text1"/>
        </w:rPr>
        <w:t xml:space="preserve">26). Lastly, </w:t>
      </w:r>
      <w:r w:rsidR="006B474F" w:rsidRPr="00F731BA">
        <w:rPr>
          <w:color w:val="000000" w:themeColor="text1"/>
        </w:rPr>
        <w:t>this research</w:t>
      </w:r>
      <w:r w:rsidRPr="00F731BA">
        <w:rPr>
          <w:color w:val="000000" w:themeColor="text1"/>
        </w:rPr>
        <w:t xml:space="preserve"> </w:t>
      </w:r>
      <w:r w:rsidR="00233FFB" w:rsidRPr="00F731BA">
        <w:rPr>
          <w:color w:val="000000" w:themeColor="text1"/>
        </w:rPr>
        <w:t>note</w:t>
      </w:r>
      <w:r w:rsidR="006B474F" w:rsidRPr="00F731BA">
        <w:rPr>
          <w:color w:val="000000" w:themeColor="text1"/>
        </w:rPr>
        <w:t>s</w:t>
      </w:r>
      <w:r w:rsidRPr="00F731BA">
        <w:rPr>
          <w:color w:val="000000" w:themeColor="text1"/>
        </w:rPr>
        <w:t xml:space="preserve"> HDLH’s emphasis on taking a strength-based approach to supporting families, including in relationship to their children’s gender health (Hidalgo et al.</w:t>
      </w:r>
      <w:r w:rsidR="00CF5A38" w:rsidRPr="00F731BA">
        <w:rPr>
          <w:color w:val="000000" w:themeColor="text1"/>
        </w:rPr>
        <w:t>,</w:t>
      </w:r>
      <w:r w:rsidRPr="00F731BA">
        <w:rPr>
          <w:color w:val="000000" w:themeColor="text1"/>
        </w:rPr>
        <w:t xml:space="preserve"> 2013), because </w:t>
      </w:r>
      <w:r w:rsidR="00F7061D" w:rsidRPr="00F731BA">
        <w:rPr>
          <w:color w:val="000000" w:themeColor="text1"/>
        </w:rPr>
        <w:t>“</w:t>
      </w:r>
      <w:r w:rsidRPr="00F731BA">
        <w:rPr>
          <w:color w:val="000000" w:themeColor="text1"/>
        </w:rPr>
        <w:t>[w]hen educators establish positive, authentic, and caring relationships with families and provide a safe, non-judgemental environment for shared learning, everyone benefits</w:t>
      </w:r>
      <w:r w:rsidR="00F7061D" w:rsidRPr="00F731BA">
        <w:rPr>
          <w:color w:val="000000" w:themeColor="text1"/>
        </w:rPr>
        <w:t>”</w:t>
      </w:r>
      <w:r w:rsidRPr="00F731BA">
        <w:rPr>
          <w:color w:val="000000" w:themeColor="text1"/>
        </w:rPr>
        <w:t xml:space="preserve"> (</w:t>
      </w:r>
      <w:r w:rsidR="00F7061D" w:rsidRPr="00F731BA">
        <w:rPr>
          <w:color w:val="000000" w:themeColor="text1"/>
        </w:rPr>
        <w:t xml:space="preserve">p. </w:t>
      </w:r>
      <w:r w:rsidRPr="00F731BA">
        <w:rPr>
          <w:color w:val="000000" w:themeColor="text1"/>
        </w:rPr>
        <w:t xml:space="preserve">31). Therefore, ECEs </w:t>
      </w:r>
      <w:r w:rsidR="006B474F" w:rsidRPr="00F731BA">
        <w:rPr>
          <w:color w:val="000000" w:themeColor="text1"/>
        </w:rPr>
        <w:t>should</w:t>
      </w:r>
      <w:r w:rsidRPr="00F731BA">
        <w:rPr>
          <w:color w:val="000000" w:themeColor="text1"/>
        </w:rPr>
        <w:t xml:space="preserve"> emphasize to parents </w:t>
      </w:r>
      <w:r w:rsidRPr="00F731BA">
        <w:rPr>
          <w:color w:val="000000" w:themeColor="text1"/>
        </w:rPr>
        <w:lastRenderedPageBreak/>
        <w:t xml:space="preserve">their unique power to </w:t>
      </w:r>
      <w:r w:rsidR="003D2AF9" w:rsidRPr="00F731BA">
        <w:rPr>
          <w:color w:val="000000" w:themeColor="text1"/>
        </w:rPr>
        <w:t xml:space="preserve">support </w:t>
      </w:r>
      <w:r w:rsidRPr="00F731BA">
        <w:rPr>
          <w:color w:val="000000" w:themeColor="text1"/>
        </w:rPr>
        <w:t>positive outcomes for their children when they affirm how their children identify and/or express gender. In sum, by partnering with families to counter misconceptions, listening to their concerns, and providing evidence-based strategies, ECEs can help strengthen the relationships that children depend on.</w:t>
      </w:r>
    </w:p>
    <w:p w14:paraId="31BCFAA2" w14:textId="150EA464" w:rsidR="000E03BE" w:rsidRPr="00F731BA" w:rsidRDefault="000E03BE" w:rsidP="00B627E0">
      <w:pPr>
        <w:widowControl w:val="0"/>
        <w:spacing w:line="240" w:lineRule="auto"/>
        <w:rPr>
          <w:color w:val="000000" w:themeColor="text1"/>
        </w:rPr>
      </w:pPr>
      <w:r w:rsidRPr="00F731BA">
        <w:rPr>
          <w:color w:val="000000" w:themeColor="text1"/>
        </w:rPr>
        <w:tab/>
        <w:t xml:space="preserve">The ELECT document insists that </w:t>
      </w:r>
      <w:r w:rsidR="00F7061D" w:rsidRPr="00F731BA">
        <w:rPr>
          <w:color w:val="000000" w:themeColor="text1"/>
        </w:rPr>
        <w:t>“</w:t>
      </w:r>
      <w:r w:rsidRPr="00F731BA">
        <w:rPr>
          <w:color w:val="000000" w:themeColor="text1"/>
        </w:rPr>
        <w:t>[b]enefits are greatest when there is planned programming for children and their families and relationships with families are based on mutual trust and respect and are sensitive to family culture, values, language and composition</w:t>
      </w:r>
      <w:r w:rsidR="00F7061D" w:rsidRPr="00F731BA">
        <w:rPr>
          <w:i/>
          <w:iCs/>
          <w:color w:val="000000" w:themeColor="text1"/>
        </w:rPr>
        <w:t>”</w:t>
      </w:r>
      <w:r w:rsidRPr="00F731BA">
        <w:rPr>
          <w:color w:val="000000" w:themeColor="text1"/>
        </w:rPr>
        <w:t xml:space="preserve"> (</w:t>
      </w:r>
      <w:r w:rsidR="00F7061D" w:rsidRPr="00F731BA">
        <w:rPr>
          <w:color w:val="000000" w:themeColor="text1"/>
        </w:rPr>
        <w:t xml:space="preserve">p. </w:t>
      </w:r>
      <w:r w:rsidRPr="00F731BA">
        <w:rPr>
          <w:color w:val="000000" w:themeColor="text1"/>
        </w:rPr>
        <w:t xml:space="preserve">9). </w:t>
      </w:r>
      <w:r w:rsidR="00B63598" w:rsidRPr="00F731BA">
        <w:rPr>
          <w:color w:val="000000" w:themeColor="text1"/>
        </w:rPr>
        <w:t>If</w:t>
      </w:r>
      <w:r w:rsidRPr="00F731BA">
        <w:rPr>
          <w:color w:val="000000" w:themeColor="text1"/>
        </w:rPr>
        <w:t xml:space="preserve"> a child’s family includes transgender and/or gender non-conforming people, that family’s culture includes gender diversity. However – and remembering that gender identity discrimination </w:t>
      </w:r>
      <w:r w:rsidR="007678A2" w:rsidRPr="00F731BA">
        <w:rPr>
          <w:color w:val="000000" w:themeColor="text1"/>
        </w:rPr>
        <w:t>is</w:t>
      </w:r>
      <w:r w:rsidRPr="00F731BA">
        <w:rPr>
          <w:color w:val="000000" w:themeColor="text1"/>
        </w:rPr>
        <w:t xml:space="preserve"> mitigated by practicing as though any child present could be transgender – ECEs may not know whether a child’s family </w:t>
      </w:r>
      <w:r w:rsidR="00677EC4" w:rsidRPr="00F731BA">
        <w:rPr>
          <w:color w:val="000000" w:themeColor="text1"/>
        </w:rPr>
        <w:t>includes transgender people</w:t>
      </w:r>
      <w:r w:rsidRPr="00F731BA">
        <w:rPr>
          <w:color w:val="000000" w:themeColor="text1"/>
        </w:rPr>
        <w:t xml:space="preserve">. It is, therefore, critical to assume that this </w:t>
      </w:r>
      <w:r w:rsidRPr="00F731BA">
        <w:rPr>
          <w:i/>
          <w:color w:val="000000" w:themeColor="text1"/>
        </w:rPr>
        <w:t>is</w:t>
      </w:r>
      <w:r w:rsidRPr="00F731BA">
        <w:rPr>
          <w:color w:val="000000" w:themeColor="text1"/>
        </w:rPr>
        <w:t xml:space="preserve"> the case, in </w:t>
      </w:r>
      <w:r w:rsidRPr="00F731BA">
        <w:rPr>
          <w:i/>
          <w:color w:val="000000" w:themeColor="text1"/>
        </w:rPr>
        <w:t>every</w:t>
      </w:r>
      <w:r w:rsidRPr="00F731BA">
        <w:rPr>
          <w:color w:val="000000" w:themeColor="text1"/>
        </w:rPr>
        <w:t xml:space="preserve"> case. </w:t>
      </w:r>
      <w:r w:rsidR="00787859" w:rsidRPr="00F731BA">
        <w:rPr>
          <w:color w:val="000000" w:themeColor="text1"/>
        </w:rPr>
        <w:t>C</w:t>
      </w:r>
      <w:r w:rsidRPr="00F731BA">
        <w:rPr>
          <w:color w:val="000000" w:themeColor="text1"/>
        </w:rPr>
        <w:t xml:space="preserve">hildren’s relationships with </w:t>
      </w:r>
      <w:r w:rsidR="00677EC4" w:rsidRPr="00F731BA">
        <w:rPr>
          <w:color w:val="000000" w:themeColor="text1"/>
        </w:rPr>
        <w:t>their</w:t>
      </w:r>
      <w:r w:rsidRPr="00F731BA">
        <w:rPr>
          <w:color w:val="000000" w:themeColor="text1"/>
        </w:rPr>
        <w:t xml:space="preserve"> family members must not be eroded through exposure to unaddressed (and therefore sanctioned) gender identity and/or gender expression discrimination in the early years centre. To this end, </w:t>
      </w:r>
      <w:r w:rsidR="00787859" w:rsidRPr="00F731BA">
        <w:rPr>
          <w:color w:val="000000" w:themeColor="text1"/>
        </w:rPr>
        <w:t>we</w:t>
      </w:r>
      <w:r w:rsidR="006B474F" w:rsidRPr="00F731BA">
        <w:rPr>
          <w:color w:val="000000" w:themeColor="text1"/>
        </w:rPr>
        <w:t xml:space="preserve"> suggest</w:t>
      </w:r>
      <w:r w:rsidR="00787859" w:rsidRPr="00F731BA">
        <w:rPr>
          <w:color w:val="000000" w:themeColor="text1"/>
        </w:rPr>
        <w:t xml:space="preserve"> </w:t>
      </w:r>
      <w:r w:rsidR="006B474F" w:rsidRPr="00F731BA">
        <w:rPr>
          <w:color w:val="000000" w:themeColor="text1"/>
        </w:rPr>
        <w:t xml:space="preserve">that </w:t>
      </w:r>
      <w:r w:rsidRPr="00F731BA">
        <w:rPr>
          <w:color w:val="000000" w:themeColor="text1"/>
        </w:rPr>
        <w:t>ECEs</w:t>
      </w:r>
      <w:r w:rsidR="006B474F" w:rsidRPr="00F731BA">
        <w:rPr>
          <w:color w:val="000000" w:themeColor="text1"/>
        </w:rPr>
        <w:t xml:space="preserve"> should</w:t>
      </w:r>
      <w:r w:rsidRPr="00F731BA">
        <w:rPr>
          <w:color w:val="000000" w:themeColor="text1"/>
        </w:rPr>
        <w:t xml:space="preserve"> </w:t>
      </w:r>
      <w:r w:rsidR="007678A2" w:rsidRPr="00F731BA">
        <w:rPr>
          <w:color w:val="000000" w:themeColor="text1"/>
        </w:rPr>
        <w:t>use</w:t>
      </w:r>
      <w:r w:rsidRPr="00F731BA">
        <w:rPr>
          <w:color w:val="000000" w:themeColor="text1"/>
        </w:rPr>
        <w:t xml:space="preserve"> th</w:t>
      </w:r>
      <w:r w:rsidR="006B474F" w:rsidRPr="00F731BA">
        <w:rPr>
          <w:color w:val="000000" w:themeColor="text1"/>
        </w:rPr>
        <w:t>e</w:t>
      </w:r>
      <w:r w:rsidRPr="00F731BA">
        <w:rPr>
          <w:color w:val="000000" w:themeColor="text1"/>
        </w:rPr>
        <w:t xml:space="preserve"> guiding questions from HDLH in considering whether their practices</w:t>
      </w:r>
      <w:r w:rsidR="00677EC4" w:rsidRPr="00F731BA">
        <w:rPr>
          <w:color w:val="000000" w:themeColor="text1"/>
        </w:rPr>
        <w:t xml:space="preserve"> </w:t>
      </w:r>
      <w:r w:rsidRPr="00F731BA">
        <w:rPr>
          <w:color w:val="000000" w:themeColor="text1"/>
        </w:rPr>
        <w:t>and structures are gender-expansive</w:t>
      </w:r>
      <w:r w:rsidR="008E6479" w:rsidRPr="00F731BA">
        <w:rPr>
          <w:color w:val="000000" w:themeColor="text1"/>
        </w:rPr>
        <w:t xml:space="preserve"> (</w:t>
      </w:r>
      <w:r w:rsidR="00657E1E" w:rsidRPr="00F731BA">
        <w:rPr>
          <w:color w:val="000000" w:themeColor="text1"/>
        </w:rPr>
        <w:t>we have adapted them to our topic</w:t>
      </w:r>
      <w:r w:rsidRPr="00F731BA">
        <w:rPr>
          <w:color w:val="000000" w:themeColor="text1"/>
        </w:rPr>
        <w:t xml:space="preserve"> </w:t>
      </w:r>
      <w:r w:rsidRPr="00F731BA">
        <w:rPr>
          <w:i/>
          <w:color w:val="000000" w:themeColor="text1"/>
        </w:rPr>
        <w:t>in italics</w:t>
      </w:r>
      <w:r w:rsidR="008E6479" w:rsidRPr="00F731BA">
        <w:rPr>
          <w:color w:val="000000" w:themeColor="text1"/>
        </w:rPr>
        <w:t>):</w:t>
      </w:r>
    </w:p>
    <w:p w14:paraId="39E7E80D" w14:textId="21BAC22D" w:rsidR="000E03BE" w:rsidRPr="00F731BA" w:rsidRDefault="00F7061D" w:rsidP="00B627E0">
      <w:pPr>
        <w:pStyle w:val="ListParagraph"/>
        <w:widowControl w:val="0"/>
        <w:numPr>
          <w:ilvl w:val="0"/>
          <w:numId w:val="44"/>
        </w:numPr>
        <w:rPr>
          <w:color w:val="000000" w:themeColor="text1"/>
        </w:rPr>
      </w:pPr>
      <w:r w:rsidRPr="00F731BA">
        <w:rPr>
          <w:color w:val="000000" w:themeColor="text1"/>
        </w:rPr>
        <w:t>“</w:t>
      </w:r>
      <w:r w:rsidR="000E03BE" w:rsidRPr="00F731BA">
        <w:rPr>
          <w:color w:val="000000" w:themeColor="text1"/>
        </w:rPr>
        <w:t>Consider your program – its philosophy, mission, policies, and daily practices. How do the program’s values reflect and affect your relationship with each child? With each family? Is everyone’s voice valued? How would an observer know</w:t>
      </w:r>
      <w:r w:rsidRPr="00F731BA">
        <w:rPr>
          <w:color w:val="000000" w:themeColor="text1"/>
        </w:rPr>
        <w:t>”</w:t>
      </w:r>
      <w:r w:rsidR="000E03BE" w:rsidRPr="00F731BA">
        <w:rPr>
          <w:color w:val="000000" w:themeColor="text1"/>
        </w:rPr>
        <w:t xml:space="preserve"> (</w:t>
      </w:r>
      <w:r w:rsidRPr="00F731BA">
        <w:rPr>
          <w:color w:val="000000" w:themeColor="text1"/>
        </w:rPr>
        <w:t xml:space="preserve">p. </w:t>
      </w:r>
      <w:r w:rsidR="000E03BE" w:rsidRPr="00F731BA">
        <w:rPr>
          <w:color w:val="000000" w:themeColor="text1"/>
        </w:rPr>
        <w:t>28)</w:t>
      </w:r>
      <w:r w:rsidR="00657E1E" w:rsidRPr="00F731BA">
        <w:rPr>
          <w:color w:val="000000" w:themeColor="text1"/>
        </w:rPr>
        <w:t>?</w:t>
      </w:r>
    </w:p>
    <w:p w14:paraId="10BE1457" w14:textId="666D8D0A" w:rsidR="000E03BE" w:rsidRPr="00F731BA" w:rsidRDefault="000E03BE" w:rsidP="00B627E0">
      <w:pPr>
        <w:pStyle w:val="ListParagraph"/>
        <w:widowControl w:val="0"/>
        <w:numPr>
          <w:ilvl w:val="1"/>
          <w:numId w:val="44"/>
        </w:numPr>
        <w:rPr>
          <w:i/>
          <w:color w:val="000000" w:themeColor="text1"/>
        </w:rPr>
      </w:pPr>
      <w:r w:rsidRPr="00F731BA">
        <w:rPr>
          <w:i/>
          <w:color w:val="000000" w:themeColor="text1"/>
        </w:rPr>
        <w:t xml:space="preserve">Is your program committed to supporting every child regardless of </w:t>
      </w:r>
      <w:r w:rsidR="00657E1E" w:rsidRPr="00F731BA">
        <w:rPr>
          <w:i/>
          <w:color w:val="000000" w:themeColor="text1"/>
        </w:rPr>
        <w:t>non/</w:t>
      </w:r>
      <w:r w:rsidRPr="00F731BA">
        <w:rPr>
          <w:i/>
          <w:color w:val="000000" w:themeColor="text1"/>
        </w:rPr>
        <w:t>conformity with expectations related to their assigned sex?</w:t>
      </w:r>
    </w:p>
    <w:p w14:paraId="671F0A5F" w14:textId="77777777" w:rsidR="000E03BE" w:rsidRPr="00F731BA" w:rsidRDefault="000E03BE" w:rsidP="00B627E0">
      <w:pPr>
        <w:pStyle w:val="ListParagraph"/>
        <w:widowControl w:val="0"/>
        <w:numPr>
          <w:ilvl w:val="1"/>
          <w:numId w:val="44"/>
        </w:numPr>
        <w:rPr>
          <w:i/>
          <w:color w:val="000000" w:themeColor="text1"/>
        </w:rPr>
      </w:pPr>
      <w:r w:rsidRPr="00F731BA">
        <w:rPr>
          <w:i/>
          <w:color w:val="000000" w:themeColor="text1"/>
        </w:rPr>
        <w:t>How would a member of a gender-diverse family know that they are welcome and valued here?</w:t>
      </w:r>
    </w:p>
    <w:p w14:paraId="2CDDC444" w14:textId="3EAA6D81" w:rsidR="000E03BE" w:rsidRPr="00F731BA" w:rsidRDefault="00F7061D" w:rsidP="00B627E0">
      <w:pPr>
        <w:pStyle w:val="ListParagraph"/>
        <w:widowControl w:val="0"/>
        <w:numPr>
          <w:ilvl w:val="0"/>
          <w:numId w:val="44"/>
        </w:numPr>
        <w:rPr>
          <w:color w:val="000000" w:themeColor="text1"/>
        </w:rPr>
      </w:pPr>
      <w:r w:rsidRPr="00F731BA">
        <w:rPr>
          <w:color w:val="000000" w:themeColor="text1"/>
        </w:rPr>
        <w:t>“</w:t>
      </w:r>
      <w:r w:rsidR="000E03BE" w:rsidRPr="00F731BA">
        <w:rPr>
          <w:color w:val="000000" w:themeColor="text1"/>
        </w:rPr>
        <w:t>Which policies and practices may be barriers to establishing relationships and ensuring the meaningful participation</w:t>
      </w:r>
      <w:r w:rsidR="00657E1E" w:rsidRPr="00F731BA">
        <w:rPr>
          <w:color w:val="000000" w:themeColor="text1"/>
        </w:rPr>
        <w:t xml:space="preserve"> of</w:t>
      </w:r>
      <w:r w:rsidR="000E03BE" w:rsidRPr="00F731BA">
        <w:rPr>
          <w:color w:val="000000" w:themeColor="text1"/>
        </w:rPr>
        <w:t xml:space="preserve"> </w:t>
      </w:r>
      <w:r w:rsidR="000E03BE" w:rsidRPr="00F731BA">
        <w:rPr>
          <w:i/>
          <w:color w:val="000000" w:themeColor="text1"/>
        </w:rPr>
        <w:t xml:space="preserve">[gender-diverse] </w:t>
      </w:r>
      <w:r w:rsidR="000E03BE" w:rsidRPr="00F731BA">
        <w:rPr>
          <w:color w:val="000000" w:themeColor="text1"/>
        </w:rPr>
        <w:t>children? Of all families</w:t>
      </w:r>
      <w:r w:rsidRPr="00F731BA">
        <w:rPr>
          <w:color w:val="000000" w:themeColor="text1"/>
        </w:rPr>
        <w:t>”</w:t>
      </w:r>
      <w:r w:rsidR="000E03BE" w:rsidRPr="00F731BA">
        <w:rPr>
          <w:color w:val="000000" w:themeColor="text1"/>
        </w:rPr>
        <w:t xml:space="preserve"> (</w:t>
      </w:r>
      <w:r w:rsidRPr="00F731BA">
        <w:rPr>
          <w:color w:val="000000" w:themeColor="text1"/>
        </w:rPr>
        <w:t xml:space="preserve">p. </w:t>
      </w:r>
      <w:r w:rsidR="000E03BE" w:rsidRPr="00F731BA">
        <w:rPr>
          <w:color w:val="000000" w:themeColor="text1"/>
        </w:rPr>
        <w:t>28)</w:t>
      </w:r>
      <w:r w:rsidR="00657E1E" w:rsidRPr="00F731BA">
        <w:rPr>
          <w:color w:val="000000" w:themeColor="text1"/>
        </w:rPr>
        <w:t>?</w:t>
      </w:r>
    </w:p>
    <w:p w14:paraId="52BF31CE" w14:textId="1021EDE2" w:rsidR="000E03BE" w:rsidRPr="00F731BA" w:rsidRDefault="00F7061D" w:rsidP="00B627E0">
      <w:pPr>
        <w:pStyle w:val="ListParagraph"/>
        <w:widowControl w:val="0"/>
        <w:numPr>
          <w:ilvl w:val="0"/>
          <w:numId w:val="44"/>
        </w:numPr>
        <w:rPr>
          <w:color w:val="000000" w:themeColor="text1"/>
        </w:rPr>
      </w:pPr>
      <w:r w:rsidRPr="00F731BA">
        <w:rPr>
          <w:color w:val="000000" w:themeColor="text1"/>
        </w:rPr>
        <w:t>“</w:t>
      </w:r>
      <w:r w:rsidR="000E03BE" w:rsidRPr="00F731BA">
        <w:rPr>
          <w:color w:val="000000" w:themeColor="text1"/>
        </w:rPr>
        <w:t>What else can be done to strengthen relationships and ensure social inclusion, participation, and a sense of belonging for each child and family</w:t>
      </w:r>
      <w:r w:rsidR="000E03BE" w:rsidRPr="00F731BA">
        <w:rPr>
          <w:i/>
          <w:color w:val="000000" w:themeColor="text1"/>
        </w:rPr>
        <w:t xml:space="preserve"> [regardless of gender identity and/or gender expression]</w:t>
      </w:r>
      <w:r w:rsidRPr="00F731BA">
        <w:rPr>
          <w:color w:val="000000" w:themeColor="text1"/>
        </w:rPr>
        <w:t>”</w:t>
      </w:r>
      <w:r w:rsidR="000E03BE" w:rsidRPr="00F731BA">
        <w:rPr>
          <w:color w:val="000000" w:themeColor="text1"/>
        </w:rPr>
        <w:t xml:space="preserve"> (</w:t>
      </w:r>
      <w:r w:rsidRPr="00F731BA">
        <w:rPr>
          <w:color w:val="000000" w:themeColor="text1"/>
        </w:rPr>
        <w:t xml:space="preserve">p. </w:t>
      </w:r>
      <w:r w:rsidR="000E03BE" w:rsidRPr="00F731BA">
        <w:rPr>
          <w:color w:val="000000" w:themeColor="text1"/>
        </w:rPr>
        <w:t>28)</w:t>
      </w:r>
      <w:r w:rsidR="00657E1E" w:rsidRPr="00F731BA">
        <w:rPr>
          <w:color w:val="000000" w:themeColor="text1"/>
        </w:rPr>
        <w:t>?</w:t>
      </w:r>
    </w:p>
    <w:p w14:paraId="0BE68228" w14:textId="4C4F53CC" w:rsidR="000E03BE" w:rsidRPr="00F731BA" w:rsidRDefault="00F7061D" w:rsidP="00B627E0">
      <w:pPr>
        <w:pStyle w:val="ListParagraph"/>
        <w:widowControl w:val="0"/>
        <w:numPr>
          <w:ilvl w:val="0"/>
          <w:numId w:val="44"/>
        </w:numPr>
        <w:rPr>
          <w:color w:val="000000" w:themeColor="text1"/>
        </w:rPr>
      </w:pPr>
      <w:r w:rsidRPr="00F731BA">
        <w:rPr>
          <w:color w:val="000000" w:themeColor="text1"/>
        </w:rPr>
        <w:t>“</w:t>
      </w:r>
      <w:r w:rsidR="000E03BE" w:rsidRPr="00F731BA">
        <w:rPr>
          <w:color w:val="000000" w:themeColor="text1"/>
        </w:rPr>
        <w:t xml:space="preserve">How can you connect with community partners to better support the mental health and well-being of </w:t>
      </w:r>
      <w:r w:rsidR="000E03BE" w:rsidRPr="00F731BA">
        <w:rPr>
          <w:i/>
          <w:color w:val="000000" w:themeColor="text1"/>
        </w:rPr>
        <w:t xml:space="preserve">[gender-diverse] </w:t>
      </w:r>
      <w:r w:rsidR="000E03BE" w:rsidRPr="00F731BA">
        <w:rPr>
          <w:color w:val="000000" w:themeColor="text1"/>
        </w:rPr>
        <w:t>families and children</w:t>
      </w:r>
      <w:r w:rsidRPr="00F731BA">
        <w:rPr>
          <w:color w:val="000000" w:themeColor="text1"/>
        </w:rPr>
        <w:t>”</w:t>
      </w:r>
      <w:r w:rsidR="000E03BE" w:rsidRPr="00F731BA">
        <w:rPr>
          <w:color w:val="000000" w:themeColor="text1"/>
        </w:rPr>
        <w:t xml:space="preserve"> (</w:t>
      </w:r>
      <w:r w:rsidRPr="00F731BA">
        <w:rPr>
          <w:color w:val="000000" w:themeColor="text1"/>
        </w:rPr>
        <w:t xml:space="preserve">p. </w:t>
      </w:r>
      <w:r w:rsidR="000E03BE" w:rsidRPr="00F731BA">
        <w:rPr>
          <w:color w:val="000000" w:themeColor="text1"/>
        </w:rPr>
        <w:t>34)</w:t>
      </w:r>
      <w:r w:rsidR="00657E1E" w:rsidRPr="00F731BA">
        <w:rPr>
          <w:color w:val="000000" w:themeColor="text1"/>
        </w:rPr>
        <w:t>?</w:t>
      </w:r>
    </w:p>
    <w:p w14:paraId="251BF59A" w14:textId="77777777" w:rsidR="000E03BE" w:rsidRPr="00F731BA" w:rsidRDefault="000E03BE" w:rsidP="00B627E0">
      <w:pPr>
        <w:widowControl w:val="0"/>
        <w:spacing w:line="240" w:lineRule="auto"/>
        <w:ind w:firstLine="720"/>
        <w:rPr>
          <w:color w:val="000000" w:themeColor="text1"/>
        </w:rPr>
      </w:pPr>
    </w:p>
    <w:p w14:paraId="3CA9C9D8" w14:textId="6C3C5F88" w:rsidR="000E03BE" w:rsidRPr="00F731BA" w:rsidRDefault="000E03BE" w:rsidP="00B627E0">
      <w:pPr>
        <w:widowControl w:val="0"/>
        <w:spacing w:line="240" w:lineRule="auto"/>
        <w:ind w:firstLine="720"/>
        <w:rPr>
          <w:color w:val="000000" w:themeColor="text1"/>
        </w:rPr>
      </w:pPr>
      <w:r w:rsidRPr="00F731BA">
        <w:rPr>
          <w:color w:val="000000" w:themeColor="text1"/>
        </w:rPr>
        <w:t xml:space="preserve">In addition to supporting children’s relationships of care and </w:t>
      </w:r>
      <w:r w:rsidR="00787859" w:rsidRPr="00F731BA">
        <w:rPr>
          <w:color w:val="000000" w:themeColor="text1"/>
        </w:rPr>
        <w:t>dependence and</w:t>
      </w:r>
      <w:r w:rsidRPr="00F731BA">
        <w:rPr>
          <w:color w:val="000000" w:themeColor="text1"/>
        </w:rPr>
        <w:t xml:space="preserve"> given what is known about gender expression discrimination </w:t>
      </w:r>
      <w:r w:rsidRPr="00F731BA">
        <w:rPr>
          <w:iCs/>
          <w:color w:val="000000" w:themeColor="text1"/>
        </w:rPr>
        <w:t>among c</w:t>
      </w:r>
      <w:r w:rsidRPr="00F731BA">
        <w:rPr>
          <w:color w:val="000000" w:themeColor="text1"/>
        </w:rPr>
        <w:t xml:space="preserve">hildren themselves, ELECT’s and HDLH’s shared emphasis on supporting healthy peer relationships can also be interpreted through a gender-expansive lens. In describing the foundation of belonging, HDLH insists that </w:t>
      </w:r>
      <w:r w:rsidR="00F7061D" w:rsidRPr="00F731BA">
        <w:rPr>
          <w:color w:val="000000" w:themeColor="text1"/>
        </w:rPr>
        <w:t>“</w:t>
      </w:r>
      <w:r w:rsidRPr="00F731BA">
        <w:rPr>
          <w:color w:val="000000" w:themeColor="text1"/>
        </w:rPr>
        <w:t>[e]nabling children to develop a sense of belonging as part of a group is also a key contributor to their lifelong well-being. A sense of belonging is supported when each child’s unique spirit, individuality, and presence are valued</w:t>
      </w:r>
      <w:r w:rsidR="00F7061D" w:rsidRPr="00F731BA">
        <w:rPr>
          <w:color w:val="000000" w:themeColor="text1"/>
        </w:rPr>
        <w:t xml:space="preserve">” </w:t>
      </w:r>
      <w:r w:rsidRPr="00F731BA">
        <w:rPr>
          <w:color w:val="000000" w:themeColor="text1"/>
        </w:rPr>
        <w:t>(</w:t>
      </w:r>
      <w:r w:rsidR="00F7061D" w:rsidRPr="00F731BA">
        <w:rPr>
          <w:color w:val="000000" w:themeColor="text1"/>
        </w:rPr>
        <w:t xml:space="preserve">p. </w:t>
      </w:r>
      <w:r w:rsidRPr="00F731BA">
        <w:rPr>
          <w:color w:val="000000" w:themeColor="text1"/>
        </w:rPr>
        <w:t xml:space="preserve">24). </w:t>
      </w:r>
      <w:r w:rsidR="00657E1E" w:rsidRPr="00F731BA">
        <w:rPr>
          <w:color w:val="000000" w:themeColor="text1"/>
        </w:rPr>
        <w:t xml:space="preserve">A child’s </w:t>
      </w:r>
      <w:r w:rsidRPr="00F731BA">
        <w:rPr>
          <w:color w:val="000000" w:themeColor="text1"/>
        </w:rPr>
        <w:t xml:space="preserve">sense of belonging </w:t>
      </w:r>
      <w:r w:rsidR="00657E1E" w:rsidRPr="00F731BA">
        <w:rPr>
          <w:color w:val="000000" w:themeColor="text1"/>
        </w:rPr>
        <w:t xml:space="preserve">can be </w:t>
      </w:r>
      <w:r w:rsidRPr="00F731BA">
        <w:rPr>
          <w:color w:val="000000" w:themeColor="text1"/>
        </w:rPr>
        <w:t xml:space="preserve">at risk when </w:t>
      </w:r>
      <w:r w:rsidR="00657E1E" w:rsidRPr="00F731BA">
        <w:rPr>
          <w:color w:val="000000" w:themeColor="text1"/>
        </w:rPr>
        <w:t xml:space="preserve">they </w:t>
      </w:r>
      <w:r w:rsidRPr="00F731BA">
        <w:rPr>
          <w:color w:val="000000" w:themeColor="text1"/>
        </w:rPr>
        <w:t>are subjected to unwelcome gender norm enforcement by their peers, which can be passive (e.g., avoidan</w:t>
      </w:r>
      <w:r w:rsidR="00657E1E" w:rsidRPr="00F731BA">
        <w:rPr>
          <w:color w:val="000000" w:themeColor="text1"/>
        </w:rPr>
        <w:t>ce or</w:t>
      </w:r>
      <w:r w:rsidRPr="00F731BA">
        <w:rPr>
          <w:color w:val="000000" w:themeColor="text1"/>
        </w:rPr>
        <w:t xml:space="preserve"> ostraci</w:t>
      </w:r>
      <w:r w:rsidR="00657E1E" w:rsidRPr="00F731BA">
        <w:rPr>
          <w:color w:val="000000" w:themeColor="text1"/>
        </w:rPr>
        <w:t>sm</w:t>
      </w:r>
      <w:r w:rsidRPr="00F731BA">
        <w:rPr>
          <w:color w:val="000000" w:themeColor="text1"/>
        </w:rPr>
        <w:t>) or active (e.g., targeted</w:t>
      </w:r>
      <w:r w:rsidR="00657E1E" w:rsidRPr="00F731BA">
        <w:rPr>
          <w:color w:val="000000" w:themeColor="text1"/>
        </w:rPr>
        <w:t xml:space="preserve"> </w:t>
      </w:r>
      <w:r w:rsidRPr="00F731BA">
        <w:rPr>
          <w:color w:val="000000" w:themeColor="text1"/>
        </w:rPr>
        <w:t>harass</w:t>
      </w:r>
      <w:r w:rsidR="00657E1E" w:rsidRPr="00F731BA">
        <w:rPr>
          <w:color w:val="000000" w:themeColor="text1"/>
        </w:rPr>
        <w:t>ment</w:t>
      </w:r>
      <w:r w:rsidRPr="00F731BA">
        <w:rPr>
          <w:color w:val="000000" w:themeColor="text1"/>
        </w:rPr>
        <w:t>). HDLH offers indicators that ECEs can use to gauge a child’s sense of belonging (</w:t>
      </w:r>
      <w:r w:rsidR="00F7061D" w:rsidRPr="00F731BA">
        <w:rPr>
          <w:color w:val="000000" w:themeColor="text1"/>
        </w:rPr>
        <w:t xml:space="preserve">p. </w:t>
      </w:r>
      <w:r w:rsidRPr="00F731BA">
        <w:rPr>
          <w:color w:val="000000" w:themeColor="text1"/>
        </w:rPr>
        <w:t>26) and well-being (</w:t>
      </w:r>
      <w:r w:rsidR="00F7061D" w:rsidRPr="00F731BA">
        <w:rPr>
          <w:color w:val="000000" w:themeColor="text1"/>
        </w:rPr>
        <w:t xml:space="preserve">p. </w:t>
      </w:r>
      <w:r w:rsidRPr="00F731BA">
        <w:rPr>
          <w:color w:val="000000" w:themeColor="text1"/>
        </w:rPr>
        <w:t>32) in the program</w:t>
      </w:r>
      <w:r w:rsidR="002F7FEE" w:rsidRPr="00F731BA">
        <w:rPr>
          <w:color w:val="000000" w:themeColor="text1"/>
        </w:rPr>
        <w:t>, and we have adapted these</w:t>
      </w:r>
      <w:r w:rsidRPr="00F731BA">
        <w:rPr>
          <w:color w:val="000000" w:themeColor="text1"/>
        </w:rPr>
        <w:t xml:space="preserve"> in relation to gender</w:t>
      </w:r>
      <w:r w:rsidR="006526AC" w:rsidRPr="00F731BA">
        <w:rPr>
          <w:color w:val="000000" w:themeColor="text1"/>
        </w:rPr>
        <w:t xml:space="preserve"> (in italics)</w:t>
      </w:r>
      <w:r w:rsidRPr="00F731BA">
        <w:rPr>
          <w:color w:val="000000" w:themeColor="text1"/>
        </w:rPr>
        <w:t xml:space="preserve">. For example, does </w:t>
      </w:r>
      <w:r w:rsidR="0085529F" w:rsidRPr="00F731BA">
        <w:rPr>
          <w:color w:val="000000" w:themeColor="text1"/>
        </w:rPr>
        <w:t>every</w:t>
      </w:r>
      <w:r w:rsidRPr="00F731BA">
        <w:rPr>
          <w:color w:val="000000" w:themeColor="text1"/>
        </w:rPr>
        <w:t xml:space="preserve"> child:</w:t>
      </w:r>
    </w:p>
    <w:p w14:paraId="23E88198" w14:textId="58A9A788" w:rsidR="000E03BE" w:rsidRPr="00F731BA" w:rsidRDefault="006526AC" w:rsidP="00B627E0">
      <w:pPr>
        <w:widowControl w:val="0"/>
        <w:numPr>
          <w:ilvl w:val="0"/>
          <w:numId w:val="39"/>
        </w:numPr>
        <w:spacing w:line="240" w:lineRule="auto"/>
        <w:rPr>
          <w:color w:val="000000" w:themeColor="text1"/>
        </w:rPr>
      </w:pPr>
      <w:r w:rsidRPr="00F731BA">
        <w:rPr>
          <w:color w:val="000000" w:themeColor="text1"/>
        </w:rPr>
        <w:t>“</w:t>
      </w:r>
      <w:r w:rsidR="000E03BE" w:rsidRPr="00F731BA">
        <w:rPr>
          <w:color w:val="000000" w:themeColor="text1"/>
        </w:rPr>
        <w:t>participate fully in ways that are most comfortable to them</w:t>
      </w:r>
      <w:r w:rsidRPr="00F731BA">
        <w:rPr>
          <w:color w:val="000000" w:themeColor="text1"/>
        </w:rPr>
        <w:t>”</w:t>
      </w:r>
      <w:r w:rsidR="000E03BE" w:rsidRPr="00F731BA">
        <w:rPr>
          <w:color w:val="000000" w:themeColor="text1"/>
        </w:rPr>
        <w:t xml:space="preserve"> </w:t>
      </w:r>
      <w:r w:rsidRPr="00F731BA">
        <w:rPr>
          <w:color w:val="000000" w:themeColor="text1"/>
        </w:rPr>
        <w:t xml:space="preserve">(p. 26) </w:t>
      </w:r>
      <w:r w:rsidR="000E03BE" w:rsidRPr="00F731BA">
        <w:rPr>
          <w:i/>
          <w:color w:val="000000" w:themeColor="text1"/>
        </w:rPr>
        <w:t>(e.g., freely access spaces and activities that are not only those typically engaged in by children of their assigned sex, and without sanction from other children)</w:t>
      </w:r>
      <w:r w:rsidR="000E03BE" w:rsidRPr="00F731BA">
        <w:rPr>
          <w:color w:val="000000" w:themeColor="text1"/>
        </w:rPr>
        <w:t>;</w:t>
      </w:r>
    </w:p>
    <w:p w14:paraId="29C07990" w14:textId="59D93014" w:rsidR="000E03BE" w:rsidRPr="00F731BA" w:rsidRDefault="006526AC" w:rsidP="00B627E0">
      <w:pPr>
        <w:widowControl w:val="0"/>
        <w:numPr>
          <w:ilvl w:val="0"/>
          <w:numId w:val="39"/>
        </w:numPr>
        <w:spacing w:line="240" w:lineRule="auto"/>
        <w:rPr>
          <w:color w:val="000000" w:themeColor="text1"/>
        </w:rPr>
      </w:pPr>
      <w:r w:rsidRPr="00F731BA">
        <w:rPr>
          <w:color w:val="000000" w:themeColor="text1"/>
        </w:rPr>
        <w:t>“</w:t>
      </w:r>
      <w:r w:rsidR="000E03BE" w:rsidRPr="00F731BA">
        <w:rPr>
          <w:color w:val="000000" w:themeColor="text1"/>
        </w:rPr>
        <w:t>notice similarities and differences between self and others and respond positively to the uniqueness, differing capabilities, and perspectives of others</w:t>
      </w:r>
      <w:r w:rsidRPr="00F731BA">
        <w:rPr>
          <w:color w:val="000000" w:themeColor="text1"/>
        </w:rPr>
        <w:t>” (p. 26)</w:t>
      </w:r>
      <w:r w:rsidR="000E03BE" w:rsidRPr="00F731BA">
        <w:rPr>
          <w:color w:val="000000" w:themeColor="text1"/>
        </w:rPr>
        <w:t xml:space="preserve"> </w:t>
      </w:r>
      <w:r w:rsidR="000E03BE" w:rsidRPr="00F731BA">
        <w:rPr>
          <w:i/>
          <w:color w:val="000000" w:themeColor="text1"/>
        </w:rPr>
        <w:t xml:space="preserve">(e.g., </w:t>
      </w:r>
      <w:r w:rsidR="000E03BE" w:rsidRPr="00F731BA">
        <w:rPr>
          <w:i/>
          <w:color w:val="000000" w:themeColor="text1"/>
        </w:rPr>
        <w:lastRenderedPageBreak/>
        <w:t>describe how they differ from others on the order of gender identity and gender expression)</w:t>
      </w:r>
      <w:r w:rsidR="000E03BE" w:rsidRPr="00F731BA">
        <w:rPr>
          <w:color w:val="000000" w:themeColor="text1"/>
        </w:rPr>
        <w:t>;</w:t>
      </w:r>
    </w:p>
    <w:p w14:paraId="58045EE1" w14:textId="35BAF3A7" w:rsidR="000E03BE" w:rsidRPr="00F731BA" w:rsidRDefault="006526AC" w:rsidP="00B627E0">
      <w:pPr>
        <w:widowControl w:val="0"/>
        <w:numPr>
          <w:ilvl w:val="0"/>
          <w:numId w:val="41"/>
        </w:numPr>
        <w:spacing w:line="240" w:lineRule="auto"/>
        <w:rPr>
          <w:color w:val="000000" w:themeColor="text1"/>
        </w:rPr>
      </w:pPr>
      <w:r w:rsidRPr="00F731BA">
        <w:rPr>
          <w:color w:val="000000" w:themeColor="text1"/>
        </w:rPr>
        <w:t>“</w:t>
      </w:r>
      <w:r w:rsidR="000E03BE" w:rsidRPr="00F731BA">
        <w:rPr>
          <w:color w:val="000000" w:themeColor="text1"/>
        </w:rPr>
        <w:t>experience a sense of competence, autonomy, and agency as they participate at their own pace throughout daily experiences and interactions</w:t>
      </w:r>
      <w:r w:rsidRPr="00F731BA">
        <w:rPr>
          <w:color w:val="000000" w:themeColor="text1"/>
        </w:rPr>
        <w:t>” (p. 32)</w:t>
      </w:r>
      <w:r w:rsidR="000E03BE" w:rsidRPr="00F731BA">
        <w:rPr>
          <w:color w:val="000000" w:themeColor="text1"/>
        </w:rPr>
        <w:t xml:space="preserve"> </w:t>
      </w:r>
      <w:r w:rsidR="000E03BE" w:rsidRPr="00F731BA">
        <w:rPr>
          <w:i/>
          <w:color w:val="000000" w:themeColor="text1"/>
        </w:rPr>
        <w:t>(e.g., share their gendered knowledge and experiences with other children and adults; correct others who mis-gender them)</w:t>
      </w:r>
      <w:r w:rsidR="000E03BE" w:rsidRPr="00F731BA">
        <w:rPr>
          <w:color w:val="000000" w:themeColor="text1"/>
        </w:rPr>
        <w:t xml:space="preserve">; </w:t>
      </w:r>
      <w:r w:rsidRPr="00F731BA">
        <w:rPr>
          <w:color w:val="000000" w:themeColor="text1"/>
        </w:rPr>
        <w:t>and</w:t>
      </w:r>
    </w:p>
    <w:p w14:paraId="3AB8C836" w14:textId="5F867DBE" w:rsidR="000E03BE" w:rsidRPr="00F731BA" w:rsidRDefault="006526AC" w:rsidP="00B627E0">
      <w:pPr>
        <w:widowControl w:val="0"/>
        <w:numPr>
          <w:ilvl w:val="0"/>
          <w:numId w:val="41"/>
        </w:numPr>
        <w:spacing w:line="240" w:lineRule="auto"/>
        <w:rPr>
          <w:b/>
          <w:color w:val="000000" w:themeColor="text1"/>
        </w:rPr>
      </w:pPr>
      <w:r w:rsidRPr="00F731BA">
        <w:rPr>
          <w:color w:val="000000" w:themeColor="text1"/>
        </w:rPr>
        <w:t>[</w:t>
      </w:r>
      <w:r w:rsidR="000E03BE" w:rsidRPr="00F731BA">
        <w:rPr>
          <w:color w:val="000000" w:themeColor="text1"/>
        </w:rPr>
        <w:t>exhibit signs of</w:t>
      </w:r>
      <w:r w:rsidRPr="00F731BA">
        <w:rPr>
          <w:color w:val="000000" w:themeColor="text1"/>
        </w:rPr>
        <w:t>]</w:t>
      </w:r>
      <w:r w:rsidR="000E03BE" w:rsidRPr="00F731BA">
        <w:rPr>
          <w:color w:val="000000" w:themeColor="text1"/>
        </w:rPr>
        <w:t xml:space="preserve"> </w:t>
      </w:r>
      <w:r w:rsidRPr="00F731BA">
        <w:rPr>
          <w:color w:val="000000" w:themeColor="text1"/>
        </w:rPr>
        <w:t>“</w:t>
      </w:r>
      <w:r w:rsidR="000E03BE" w:rsidRPr="00F731BA">
        <w:rPr>
          <w:color w:val="000000" w:themeColor="text1"/>
        </w:rPr>
        <w:t>developing a strong sense of self and the ability to value their own unique identity</w:t>
      </w:r>
      <w:r w:rsidRPr="00F731BA">
        <w:rPr>
          <w:color w:val="000000" w:themeColor="text1"/>
        </w:rPr>
        <w:t>”</w:t>
      </w:r>
      <w:r w:rsidR="000E03BE" w:rsidRPr="00F731BA">
        <w:rPr>
          <w:color w:val="000000" w:themeColor="text1"/>
        </w:rPr>
        <w:t xml:space="preserve"> </w:t>
      </w:r>
      <w:r w:rsidRPr="00F731BA">
        <w:rPr>
          <w:color w:val="000000" w:themeColor="text1"/>
        </w:rPr>
        <w:t xml:space="preserve">(p. 33) </w:t>
      </w:r>
      <w:r w:rsidR="000E03BE" w:rsidRPr="00F731BA">
        <w:rPr>
          <w:i/>
          <w:color w:val="000000" w:themeColor="text1"/>
        </w:rPr>
        <w:t>(e.g., create drawings or representations of themself that align with their gender expression; describe what they know or like about their gender)</w:t>
      </w:r>
      <w:r w:rsidR="000E03BE" w:rsidRPr="00F731BA">
        <w:rPr>
          <w:color w:val="000000" w:themeColor="text1"/>
        </w:rPr>
        <w:t>?</w:t>
      </w:r>
      <w:r w:rsidR="000E03BE" w:rsidRPr="00F731BA">
        <w:rPr>
          <w:color w:val="000000" w:themeColor="text1"/>
        </w:rPr>
        <w:br/>
      </w:r>
    </w:p>
    <w:p w14:paraId="5DE59DBA" w14:textId="6329E189" w:rsidR="000E03BE" w:rsidRPr="00F731BA" w:rsidRDefault="000E03BE" w:rsidP="00B627E0">
      <w:pPr>
        <w:widowControl w:val="0"/>
        <w:spacing w:line="240" w:lineRule="auto"/>
        <w:rPr>
          <w:color w:val="000000" w:themeColor="text1"/>
        </w:rPr>
      </w:pPr>
      <w:r w:rsidRPr="00F731BA">
        <w:rPr>
          <w:color w:val="000000" w:themeColor="text1"/>
        </w:rPr>
        <w:t>If the answer to any of these questions is negative, this indicate</w:t>
      </w:r>
      <w:r w:rsidR="006B474F" w:rsidRPr="00F731BA">
        <w:rPr>
          <w:color w:val="000000" w:themeColor="text1"/>
        </w:rPr>
        <w:t>s</w:t>
      </w:r>
      <w:r w:rsidRPr="00F731BA">
        <w:rPr>
          <w:color w:val="000000" w:themeColor="text1"/>
        </w:rPr>
        <w:t xml:space="preserve"> that the early years space is in need of </w:t>
      </w:r>
      <w:r w:rsidR="00B917DA" w:rsidRPr="00F731BA">
        <w:rPr>
          <w:color w:val="000000" w:themeColor="text1"/>
        </w:rPr>
        <w:t xml:space="preserve">a shift toward more </w:t>
      </w:r>
      <w:r w:rsidRPr="00F731BA">
        <w:rPr>
          <w:color w:val="000000" w:themeColor="text1"/>
        </w:rPr>
        <w:t>gender-expansive practices.</w:t>
      </w:r>
      <w:r w:rsidR="00787859" w:rsidRPr="00F731BA">
        <w:rPr>
          <w:color w:val="000000" w:themeColor="text1"/>
        </w:rPr>
        <w:br/>
      </w:r>
    </w:p>
    <w:p w14:paraId="4CE0C7CE" w14:textId="065FAE9F" w:rsidR="000E03BE" w:rsidRPr="00F731BA" w:rsidRDefault="000E03BE" w:rsidP="00B627E0">
      <w:pPr>
        <w:widowControl w:val="0"/>
        <w:spacing w:line="240" w:lineRule="auto"/>
        <w:rPr>
          <w:b/>
          <w:i/>
          <w:iCs/>
          <w:color w:val="000000" w:themeColor="text1"/>
        </w:rPr>
      </w:pPr>
      <w:r w:rsidRPr="00F731BA">
        <w:rPr>
          <w:b/>
          <w:i/>
          <w:iCs/>
          <w:color w:val="000000" w:themeColor="text1"/>
        </w:rPr>
        <w:t>Theme 2: Reducing discrimination by fostering expression</w:t>
      </w:r>
    </w:p>
    <w:p w14:paraId="665DFE81" w14:textId="31C1B6AC" w:rsidR="000E03BE" w:rsidRPr="00F731BA" w:rsidRDefault="000E03BE" w:rsidP="00B627E0">
      <w:pPr>
        <w:widowControl w:val="0"/>
        <w:spacing w:line="240" w:lineRule="auto"/>
        <w:ind w:firstLine="720"/>
        <w:rPr>
          <w:color w:val="000000" w:themeColor="text1"/>
        </w:rPr>
      </w:pPr>
      <w:r w:rsidRPr="00F731BA">
        <w:rPr>
          <w:color w:val="000000" w:themeColor="text1"/>
        </w:rPr>
        <w:t xml:space="preserve">Taken together, ELECT and HDLH mandate that early </w:t>
      </w:r>
      <w:r w:rsidR="00787859" w:rsidRPr="00F731BA">
        <w:rPr>
          <w:color w:val="000000" w:themeColor="text1"/>
        </w:rPr>
        <w:t>year’s</w:t>
      </w:r>
      <w:r w:rsidRPr="00F731BA">
        <w:rPr>
          <w:color w:val="000000" w:themeColor="text1"/>
        </w:rPr>
        <w:t xml:space="preserve"> centre</w:t>
      </w:r>
      <w:r w:rsidR="00F45756" w:rsidRPr="00F731BA">
        <w:rPr>
          <w:color w:val="000000" w:themeColor="text1"/>
        </w:rPr>
        <w:t xml:space="preserve">s </w:t>
      </w:r>
      <w:r w:rsidRPr="00F731BA">
        <w:rPr>
          <w:color w:val="000000" w:themeColor="text1"/>
        </w:rPr>
        <w:t xml:space="preserve">be free from discrimination on a variety of grounds, echoing their legal responsibilities in keeping with the </w:t>
      </w:r>
      <w:r w:rsidR="00F45756" w:rsidRPr="00F731BA">
        <w:rPr>
          <w:i/>
          <w:color w:val="000000" w:themeColor="text1"/>
        </w:rPr>
        <w:t xml:space="preserve">Ontario Human Rights </w:t>
      </w:r>
      <w:r w:rsidRPr="00F731BA">
        <w:rPr>
          <w:i/>
          <w:color w:val="000000" w:themeColor="text1"/>
        </w:rPr>
        <w:t>Code</w:t>
      </w:r>
      <w:r w:rsidRPr="00F731BA">
        <w:rPr>
          <w:color w:val="000000" w:themeColor="text1"/>
        </w:rPr>
        <w:t xml:space="preserve">. ELECT Principle 3 acknowledges that </w:t>
      </w:r>
      <w:r w:rsidR="002707A8" w:rsidRPr="00F731BA">
        <w:rPr>
          <w:color w:val="000000" w:themeColor="text1"/>
        </w:rPr>
        <w:t xml:space="preserve">centres </w:t>
      </w:r>
      <w:r w:rsidRPr="00F731BA">
        <w:rPr>
          <w:color w:val="000000" w:themeColor="text1"/>
        </w:rPr>
        <w:t>must plan</w:t>
      </w:r>
      <w:r w:rsidRPr="00F731BA">
        <w:rPr>
          <w:b/>
          <w:color w:val="000000" w:themeColor="text1"/>
        </w:rPr>
        <w:t xml:space="preserve"> </w:t>
      </w:r>
      <w:r w:rsidRPr="00F731BA">
        <w:rPr>
          <w:color w:val="000000" w:themeColor="text1"/>
        </w:rPr>
        <w:t xml:space="preserve">for meaningful engagement and equitable outcomes for all children, </w:t>
      </w:r>
      <w:r w:rsidR="00FB00C6" w:rsidRPr="00F731BA">
        <w:rPr>
          <w:color w:val="000000" w:themeColor="text1"/>
        </w:rPr>
        <w:t>which does</w:t>
      </w:r>
      <w:r w:rsidRPr="00F731BA">
        <w:rPr>
          <w:color w:val="000000" w:themeColor="text1"/>
        </w:rPr>
        <w:t xml:space="preserve"> not happen without purposeful planning and attention to </w:t>
      </w:r>
      <w:r w:rsidR="00FB00C6" w:rsidRPr="00F731BA">
        <w:rPr>
          <w:color w:val="000000" w:themeColor="text1"/>
        </w:rPr>
        <w:t>how</w:t>
      </w:r>
      <w:r w:rsidRPr="00F731BA">
        <w:rPr>
          <w:color w:val="000000" w:themeColor="text1"/>
        </w:rPr>
        <w:t xml:space="preserve"> learning environments and interactions influence </w:t>
      </w:r>
      <w:r w:rsidR="00FB00C6" w:rsidRPr="00F731BA">
        <w:rPr>
          <w:color w:val="000000" w:themeColor="text1"/>
        </w:rPr>
        <w:t xml:space="preserve">children’s </w:t>
      </w:r>
      <w:r w:rsidRPr="00F731BA">
        <w:rPr>
          <w:color w:val="000000" w:themeColor="text1"/>
        </w:rPr>
        <w:t xml:space="preserve">opportunities. </w:t>
      </w:r>
      <w:r w:rsidR="00B75E09" w:rsidRPr="00F731BA">
        <w:rPr>
          <w:color w:val="000000" w:themeColor="text1"/>
        </w:rPr>
        <w:t xml:space="preserve">While </w:t>
      </w:r>
      <w:r w:rsidRPr="00F731BA">
        <w:rPr>
          <w:color w:val="000000" w:themeColor="text1"/>
        </w:rPr>
        <w:t xml:space="preserve">Principle 3 broadly discusses equity, diversity, and inclusion, it </w:t>
      </w:r>
      <w:r w:rsidR="00B75E09" w:rsidRPr="00F731BA">
        <w:rPr>
          <w:color w:val="000000" w:themeColor="text1"/>
        </w:rPr>
        <w:t xml:space="preserve">does </w:t>
      </w:r>
      <w:r w:rsidRPr="00F731BA">
        <w:rPr>
          <w:color w:val="000000" w:themeColor="text1"/>
        </w:rPr>
        <w:t xml:space="preserve">make two specific references to gender. The first requires ECEs to </w:t>
      </w:r>
      <w:r w:rsidR="005824E2" w:rsidRPr="00F731BA">
        <w:rPr>
          <w:color w:val="000000" w:themeColor="text1"/>
        </w:rPr>
        <w:t>“</w:t>
      </w:r>
      <w:r w:rsidRPr="00F731BA">
        <w:rPr>
          <w:color w:val="000000" w:themeColor="text1"/>
        </w:rPr>
        <w:t xml:space="preserve">take into account the differences each child and family brings to an early childhood setting including appearance, age, culture, ethnicity, race, language, gender </w:t>
      </w:r>
      <w:r w:rsidRPr="00F731BA">
        <w:rPr>
          <w:i/>
          <w:color w:val="000000" w:themeColor="text1"/>
        </w:rPr>
        <w:t>[expression,</w:t>
      </w:r>
      <w:r w:rsidRPr="00F731BA">
        <w:rPr>
          <w:color w:val="000000" w:themeColor="text1"/>
        </w:rPr>
        <w:t xml:space="preserve"> </w:t>
      </w:r>
      <w:r w:rsidRPr="00F731BA">
        <w:rPr>
          <w:i/>
          <w:color w:val="000000" w:themeColor="text1"/>
        </w:rPr>
        <w:t>gender identity]</w:t>
      </w:r>
      <w:r w:rsidRPr="00F731BA">
        <w:rPr>
          <w:color w:val="000000" w:themeColor="text1"/>
        </w:rPr>
        <w:t>, sexual orientation, religion, family environment and developmental abilities</w:t>
      </w:r>
      <w:r w:rsidR="005824E2" w:rsidRPr="00F731BA">
        <w:rPr>
          <w:color w:val="000000" w:themeColor="text1"/>
        </w:rPr>
        <w:t>”</w:t>
      </w:r>
      <w:r w:rsidRPr="00F731BA">
        <w:rPr>
          <w:color w:val="000000" w:themeColor="text1"/>
        </w:rPr>
        <w:t xml:space="preserve"> (</w:t>
      </w:r>
      <w:r w:rsidR="005824E2" w:rsidRPr="00F731BA">
        <w:rPr>
          <w:color w:val="000000" w:themeColor="text1"/>
        </w:rPr>
        <w:t xml:space="preserve">p. </w:t>
      </w:r>
      <w:r w:rsidRPr="00F731BA">
        <w:rPr>
          <w:color w:val="000000" w:themeColor="text1"/>
        </w:rPr>
        <w:t xml:space="preserve">11; added text and emphasis). In the previous section, we discussed ECEs’ responsibilities toward gender-diverse children and families. </w:t>
      </w:r>
      <w:r w:rsidR="006B474F" w:rsidRPr="00F731BA">
        <w:rPr>
          <w:color w:val="000000" w:themeColor="text1"/>
        </w:rPr>
        <w:t>This research</w:t>
      </w:r>
      <w:r w:rsidR="00B75E09" w:rsidRPr="00F731BA">
        <w:rPr>
          <w:color w:val="000000" w:themeColor="text1"/>
        </w:rPr>
        <w:t xml:space="preserve"> elaborate</w:t>
      </w:r>
      <w:r w:rsidR="006B474F" w:rsidRPr="00F731BA">
        <w:rPr>
          <w:color w:val="000000" w:themeColor="text1"/>
        </w:rPr>
        <w:t>s</w:t>
      </w:r>
      <w:r w:rsidR="00B75E09" w:rsidRPr="00F731BA">
        <w:rPr>
          <w:color w:val="000000" w:themeColor="text1"/>
        </w:rPr>
        <w:t xml:space="preserve"> on t</w:t>
      </w:r>
      <w:r w:rsidRPr="00F731BA">
        <w:rPr>
          <w:color w:val="000000" w:themeColor="text1"/>
        </w:rPr>
        <w:t>he second reference to gender in Principle 3</w:t>
      </w:r>
      <w:r w:rsidR="00B75E09" w:rsidRPr="00F731BA">
        <w:rPr>
          <w:color w:val="000000" w:themeColor="text1"/>
        </w:rPr>
        <w:t>,</w:t>
      </w:r>
      <w:r w:rsidRPr="00F731BA">
        <w:rPr>
          <w:color w:val="000000" w:themeColor="text1"/>
        </w:rPr>
        <w:t xml:space="preserve"> focuse</w:t>
      </w:r>
      <w:r w:rsidR="00B75E09" w:rsidRPr="00F731BA">
        <w:rPr>
          <w:color w:val="000000" w:themeColor="text1"/>
        </w:rPr>
        <w:t>d</w:t>
      </w:r>
      <w:r w:rsidRPr="00F731BA">
        <w:rPr>
          <w:color w:val="000000" w:themeColor="text1"/>
        </w:rPr>
        <w:t xml:space="preserve"> on removing preconceived notions about gender while addressing prejudice and counteracting bias; this is an ongoing process of checking </w:t>
      </w:r>
      <w:r w:rsidR="005824E2" w:rsidRPr="00F731BA">
        <w:rPr>
          <w:color w:val="000000" w:themeColor="text1"/>
        </w:rPr>
        <w:t>“</w:t>
      </w:r>
      <w:r w:rsidRPr="00F731BA">
        <w:rPr>
          <w:color w:val="000000" w:themeColor="text1"/>
        </w:rPr>
        <w:t>curriculum and pedagogy against program standards that reflect inclusion and accessing expertise</w:t>
      </w:r>
      <w:r w:rsidR="005824E2" w:rsidRPr="00F731BA">
        <w:rPr>
          <w:color w:val="000000" w:themeColor="text1"/>
        </w:rPr>
        <w:t>”</w:t>
      </w:r>
      <w:r w:rsidRPr="00F731BA">
        <w:rPr>
          <w:color w:val="000000" w:themeColor="text1"/>
        </w:rPr>
        <w:t xml:space="preserve"> (</w:t>
      </w:r>
      <w:r w:rsidR="005824E2" w:rsidRPr="00F731BA">
        <w:rPr>
          <w:color w:val="000000" w:themeColor="text1"/>
        </w:rPr>
        <w:t xml:space="preserve">p. </w:t>
      </w:r>
      <w:r w:rsidRPr="00F731BA">
        <w:rPr>
          <w:color w:val="000000" w:themeColor="text1"/>
        </w:rPr>
        <w:t xml:space="preserve">13), and in some cases hiring </w:t>
      </w:r>
      <w:r w:rsidR="005824E2" w:rsidRPr="00F731BA">
        <w:rPr>
          <w:color w:val="000000" w:themeColor="text1"/>
        </w:rPr>
        <w:t>“</w:t>
      </w:r>
      <w:r w:rsidRPr="00F731BA">
        <w:rPr>
          <w:color w:val="000000" w:themeColor="text1"/>
        </w:rPr>
        <w:t>[a]dditional early childhood practitioners with specific expertise who can build and support capacity…to support inclusion</w:t>
      </w:r>
      <w:r w:rsidR="005824E2" w:rsidRPr="00F731BA">
        <w:rPr>
          <w:color w:val="000000" w:themeColor="text1"/>
        </w:rPr>
        <w:t>”</w:t>
      </w:r>
      <w:r w:rsidRPr="00F731BA">
        <w:rPr>
          <w:color w:val="000000" w:themeColor="text1"/>
        </w:rPr>
        <w:t xml:space="preserve"> (</w:t>
      </w:r>
      <w:r w:rsidR="005824E2" w:rsidRPr="00F731BA">
        <w:rPr>
          <w:color w:val="000000" w:themeColor="text1"/>
        </w:rPr>
        <w:t xml:space="preserve">p. </w:t>
      </w:r>
      <w:r w:rsidRPr="00F731BA">
        <w:rPr>
          <w:color w:val="000000" w:themeColor="text1"/>
        </w:rPr>
        <w:t xml:space="preserve">13). </w:t>
      </w:r>
    </w:p>
    <w:p w14:paraId="1DC0EA7D" w14:textId="23C6FA5B" w:rsidR="004842A9" w:rsidRPr="00F731BA" w:rsidRDefault="000E03BE" w:rsidP="00B627E0">
      <w:pPr>
        <w:widowControl w:val="0"/>
        <w:spacing w:line="240" w:lineRule="auto"/>
        <w:ind w:firstLine="720"/>
        <w:rPr>
          <w:color w:val="000000" w:themeColor="text1"/>
        </w:rPr>
      </w:pPr>
      <w:r w:rsidRPr="00F731BA">
        <w:rPr>
          <w:color w:val="000000" w:themeColor="text1"/>
        </w:rPr>
        <w:t xml:space="preserve">ELECT’s action-oriented and process-based approach to fostering equitable early years climates is supported by HDLH’s pedagogical recommendations on </w:t>
      </w:r>
      <w:r w:rsidR="005824E2" w:rsidRPr="00F731BA">
        <w:rPr>
          <w:color w:val="000000" w:themeColor="text1"/>
        </w:rPr>
        <w:t>“</w:t>
      </w:r>
      <w:r w:rsidRPr="00F731BA">
        <w:rPr>
          <w:color w:val="000000" w:themeColor="text1"/>
        </w:rPr>
        <w:t>[f]ostering communication and expression in all forms</w:t>
      </w:r>
      <w:r w:rsidR="005824E2" w:rsidRPr="00F731BA">
        <w:rPr>
          <w:color w:val="000000" w:themeColor="text1"/>
        </w:rPr>
        <w:t>”</w:t>
      </w:r>
      <w:r w:rsidRPr="00F731BA">
        <w:rPr>
          <w:color w:val="000000" w:themeColor="text1"/>
        </w:rPr>
        <w:t xml:space="preserve"> (</w:t>
      </w:r>
      <w:r w:rsidR="005824E2" w:rsidRPr="00F731BA">
        <w:rPr>
          <w:color w:val="000000" w:themeColor="text1"/>
        </w:rPr>
        <w:t xml:space="preserve">p. </w:t>
      </w:r>
      <w:r w:rsidRPr="00F731BA">
        <w:rPr>
          <w:color w:val="000000" w:themeColor="text1"/>
        </w:rPr>
        <w:t xml:space="preserve">41). HDLH encourages authentic conversation between ECEs and children in which </w:t>
      </w:r>
      <w:r w:rsidR="005824E2" w:rsidRPr="00F731BA">
        <w:rPr>
          <w:color w:val="000000" w:themeColor="text1"/>
        </w:rPr>
        <w:t>“</w:t>
      </w:r>
      <w:r w:rsidRPr="00F731BA">
        <w:rPr>
          <w:color w:val="000000" w:themeColor="text1"/>
        </w:rPr>
        <w:t>adults show respect for what the child is interested in and what the child is trying to communicate and are also willing to share their own perspective in a positive and meaningful way to continue the exchange</w:t>
      </w:r>
      <w:r w:rsidR="005824E2" w:rsidRPr="00F731BA">
        <w:rPr>
          <w:color w:val="000000" w:themeColor="text1"/>
        </w:rPr>
        <w:t>”</w:t>
      </w:r>
      <w:r w:rsidRPr="00F731BA">
        <w:rPr>
          <w:color w:val="000000" w:themeColor="text1"/>
        </w:rPr>
        <w:t xml:space="preserve"> (</w:t>
      </w:r>
      <w:r w:rsidR="005824E2" w:rsidRPr="00F731BA">
        <w:rPr>
          <w:color w:val="000000" w:themeColor="text1"/>
        </w:rPr>
        <w:t xml:space="preserve">p. </w:t>
      </w:r>
      <w:r w:rsidRPr="00F731BA">
        <w:rPr>
          <w:color w:val="000000" w:themeColor="text1"/>
        </w:rPr>
        <w:t>41). However, gender diversity is frequently</w:t>
      </w:r>
      <w:r w:rsidR="004842A9" w:rsidRPr="00F731BA">
        <w:rPr>
          <w:color w:val="000000" w:themeColor="text1"/>
        </w:rPr>
        <w:t xml:space="preserve"> yet</w:t>
      </w:r>
      <w:r w:rsidRPr="00F731BA">
        <w:rPr>
          <w:color w:val="000000" w:themeColor="text1"/>
        </w:rPr>
        <w:t xml:space="preserve"> passively sanctioned in everyday conversations wherein gender-conforming interests and gender binary-based observations (e.g., that X is a boy/for boys) are affirmed, </w:t>
      </w:r>
      <w:r w:rsidR="004842A9" w:rsidRPr="00F731BA">
        <w:rPr>
          <w:color w:val="000000" w:themeColor="text1"/>
        </w:rPr>
        <w:t>and others</w:t>
      </w:r>
      <w:r w:rsidRPr="00F731BA">
        <w:rPr>
          <w:color w:val="000000" w:themeColor="text1"/>
        </w:rPr>
        <w:t xml:space="preserve"> are not. </w:t>
      </w:r>
    </w:p>
    <w:p w14:paraId="04749E41" w14:textId="638A3BAD" w:rsidR="000E03BE" w:rsidRPr="00F731BA" w:rsidRDefault="000E03BE" w:rsidP="00B627E0">
      <w:pPr>
        <w:widowControl w:val="0"/>
        <w:spacing w:line="240" w:lineRule="auto"/>
        <w:ind w:firstLine="720"/>
        <w:rPr>
          <w:color w:val="000000" w:themeColor="text1"/>
        </w:rPr>
      </w:pPr>
      <w:r w:rsidRPr="00F731BA">
        <w:rPr>
          <w:color w:val="000000" w:themeColor="text1"/>
        </w:rPr>
        <w:t>Echoing ELECT’s process-based account of equity, HDLH’s guidance on fostering children’s communication and expression every day can be read through a gender-expansive lens.</w:t>
      </w:r>
      <w:r w:rsidR="004842A9" w:rsidRPr="00F731BA">
        <w:rPr>
          <w:color w:val="000000" w:themeColor="text1"/>
        </w:rPr>
        <w:t xml:space="preserve"> </w:t>
      </w:r>
      <w:r w:rsidRPr="00F731BA">
        <w:rPr>
          <w:color w:val="000000" w:themeColor="text1"/>
        </w:rPr>
        <w:t xml:space="preserve">Whereas common-sense (and often binary) knowledge about gender is regularly conveyed to children as </w:t>
      </w:r>
      <w:r w:rsidR="00DF68D2" w:rsidRPr="00F731BA">
        <w:rPr>
          <w:color w:val="000000" w:themeColor="text1"/>
        </w:rPr>
        <w:t>“</w:t>
      </w:r>
      <w:r w:rsidRPr="00F731BA">
        <w:rPr>
          <w:color w:val="000000" w:themeColor="text1"/>
        </w:rPr>
        <w:t>just how things are</w:t>
      </w:r>
      <w:r w:rsidR="004842A9" w:rsidRPr="00F731BA">
        <w:rPr>
          <w:color w:val="000000" w:themeColor="text1"/>
        </w:rPr>
        <w:t>,</w:t>
      </w:r>
      <w:r w:rsidR="00DF68D2" w:rsidRPr="00F731BA">
        <w:rPr>
          <w:color w:val="000000" w:themeColor="text1"/>
        </w:rPr>
        <w:t>”</w:t>
      </w:r>
      <w:r w:rsidRPr="00F731BA">
        <w:rPr>
          <w:color w:val="000000" w:themeColor="text1"/>
        </w:rPr>
        <w:t xml:space="preserve"> the preceding quotation suggests another path for ECEs when gender comes up in conversation with children: </w:t>
      </w:r>
      <w:r w:rsidRPr="00F731BA">
        <w:rPr>
          <w:i/>
          <w:color w:val="000000" w:themeColor="text1"/>
        </w:rPr>
        <w:t>explicitly state that this is the ECE’s own experience or perspective (about gender, boys, girls, men, women, etc.) that they are sharing, and that other people have different ones</w:t>
      </w:r>
      <w:r w:rsidRPr="00F731BA">
        <w:rPr>
          <w:color w:val="000000" w:themeColor="text1"/>
        </w:rPr>
        <w:t>. Other gender-expansive communication practices are as follows (adapted for the early years from Airton</w:t>
      </w:r>
      <w:r w:rsidR="006B474F" w:rsidRPr="00F731BA">
        <w:rPr>
          <w:color w:val="000000" w:themeColor="text1"/>
        </w:rPr>
        <w:t xml:space="preserve">, </w:t>
      </w:r>
      <w:r w:rsidRPr="00F731BA">
        <w:rPr>
          <w:color w:val="000000" w:themeColor="text1"/>
        </w:rPr>
        <w:t>2018):</w:t>
      </w:r>
    </w:p>
    <w:p w14:paraId="08E7D7FE" w14:textId="762956B8" w:rsidR="000E03BE" w:rsidRPr="00F731BA" w:rsidRDefault="000E03BE" w:rsidP="00B627E0">
      <w:pPr>
        <w:widowControl w:val="0"/>
        <w:numPr>
          <w:ilvl w:val="0"/>
          <w:numId w:val="32"/>
        </w:numPr>
        <w:spacing w:line="240" w:lineRule="auto"/>
        <w:rPr>
          <w:color w:val="000000" w:themeColor="text1"/>
        </w:rPr>
      </w:pPr>
      <w:r w:rsidRPr="00F731BA">
        <w:rPr>
          <w:color w:val="000000" w:themeColor="text1"/>
        </w:rPr>
        <w:t>answering a question (</w:t>
      </w:r>
      <w:r w:rsidR="00DF68D2" w:rsidRPr="00F731BA">
        <w:rPr>
          <w:color w:val="000000" w:themeColor="text1"/>
        </w:rPr>
        <w:t>“</w:t>
      </w:r>
      <w:r w:rsidRPr="00F731BA">
        <w:rPr>
          <w:color w:val="000000" w:themeColor="text1"/>
        </w:rPr>
        <w:t>is that a boy or a girl?</w:t>
      </w:r>
      <w:r w:rsidR="00DF68D2" w:rsidRPr="00F731BA">
        <w:rPr>
          <w:color w:val="000000" w:themeColor="text1"/>
        </w:rPr>
        <w:t>”</w:t>
      </w:r>
      <w:r w:rsidRPr="00F731BA">
        <w:rPr>
          <w:color w:val="000000" w:themeColor="text1"/>
        </w:rPr>
        <w:t>) with a question (</w:t>
      </w:r>
      <w:r w:rsidR="00DF68D2" w:rsidRPr="00F731BA">
        <w:rPr>
          <w:color w:val="000000" w:themeColor="text1"/>
        </w:rPr>
        <w:t>“</w:t>
      </w:r>
      <w:r w:rsidRPr="00F731BA">
        <w:rPr>
          <w:color w:val="000000" w:themeColor="text1"/>
        </w:rPr>
        <w:t xml:space="preserve">why does that </w:t>
      </w:r>
      <w:r w:rsidRPr="00F731BA">
        <w:rPr>
          <w:color w:val="000000" w:themeColor="text1"/>
        </w:rPr>
        <w:lastRenderedPageBreak/>
        <w:t>matter? Would you play with them either way?</w:t>
      </w:r>
      <w:r w:rsidR="00DF68D2" w:rsidRPr="00F731BA">
        <w:rPr>
          <w:color w:val="000000" w:themeColor="text1"/>
        </w:rPr>
        <w:t>”</w:t>
      </w:r>
      <w:r w:rsidRPr="00F731BA">
        <w:rPr>
          <w:color w:val="000000" w:themeColor="text1"/>
        </w:rPr>
        <w:t>);</w:t>
      </w:r>
    </w:p>
    <w:p w14:paraId="4155DD7A" w14:textId="0FC393D2" w:rsidR="000E03BE" w:rsidRPr="00F731BA" w:rsidRDefault="000E03BE" w:rsidP="00B627E0">
      <w:pPr>
        <w:widowControl w:val="0"/>
        <w:numPr>
          <w:ilvl w:val="0"/>
          <w:numId w:val="32"/>
        </w:numPr>
        <w:spacing w:line="240" w:lineRule="auto"/>
        <w:rPr>
          <w:color w:val="000000" w:themeColor="text1"/>
        </w:rPr>
      </w:pPr>
      <w:r w:rsidRPr="00F731BA">
        <w:rPr>
          <w:color w:val="000000" w:themeColor="text1"/>
        </w:rPr>
        <w:t xml:space="preserve">questioning children’s automatic gendering of toys and materials, characters in books, images, etc. (e.g., </w:t>
      </w:r>
      <w:r w:rsidR="00DF68D2" w:rsidRPr="00F731BA">
        <w:rPr>
          <w:color w:val="000000" w:themeColor="text1"/>
        </w:rPr>
        <w:t>“</w:t>
      </w:r>
      <w:r w:rsidRPr="00F731BA">
        <w:rPr>
          <w:color w:val="000000" w:themeColor="text1"/>
        </w:rPr>
        <w:t>Hmm. It does not say that [X] is a [boy]. I wonder why we are thinking that. Can girls do [what X is doing, etc.]?</w:t>
      </w:r>
      <w:r w:rsidR="00DF68D2" w:rsidRPr="00F731BA">
        <w:rPr>
          <w:color w:val="000000" w:themeColor="text1"/>
        </w:rPr>
        <w:t>”</w:t>
      </w:r>
      <w:r w:rsidRPr="00F731BA">
        <w:rPr>
          <w:color w:val="000000" w:themeColor="text1"/>
        </w:rPr>
        <w:t>);</w:t>
      </w:r>
    </w:p>
    <w:p w14:paraId="161E5FA0" w14:textId="12866DF3" w:rsidR="000E03BE" w:rsidRPr="00F731BA" w:rsidRDefault="000E03BE" w:rsidP="00B627E0">
      <w:pPr>
        <w:widowControl w:val="0"/>
        <w:numPr>
          <w:ilvl w:val="0"/>
          <w:numId w:val="32"/>
        </w:numPr>
        <w:spacing w:line="240" w:lineRule="auto"/>
        <w:rPr>
          <w:color w:val="000000" w:themeColor="text1"/>
        </w:rPr>
      </w:pPr>
      <w:r w:rsidRPr="00F731BA">
        <w:rPr>
          <w:color w:val="000000" w:themeColor="text1"/>
        </w:rPr>
        <w:t xml:space="preserve">and using ‘unlikely’ pronouns for unnamed characters in picture books (e.g., </w:t>
      </w:r>
      <w:r w:rsidR="00DF68D2" w:rsidRPr="00F731BA">
        <w:rPr>
          <w:color w:val="000000" w:themeColor="text1"/>
        </w:rPr>
        <w:t>“</w:t>
      </w:r>
      <w:r w:rsidRPr="00F731BA">
        <w:rPr>
          <w:color w:val="000000" w:themeColor="text1"/>
        </w:rPr>
        <w:t>I’m so glad the firefighter came and brought [her or their] big truck!</w:t>
      </w:r>
      <w:r w:rsidR="00DF68D2" w:rsidRPr="00F731BA">
        <w:rPr>
          <w:color w:val="000000" w:themeColor="text1"/>
        </w:rPr>
        <w:t>”</w:t>
      </w:r>
      <w:r w:rsidRPr="00F731BA">
        <w:rPr>
          <w:color w:val="000000" w:themeColor="text1"/>
        </w:rPr>
        <w:t>).</w:t>
      </w:r>
      <w:r w:rsidRPr="00F731BA">
        <w:rPr>
          <w:color w:val="000000" w:themeColor="text1"/>
        </w:rPr>
        <w:br/>
      </w:r>
    </w:p>
    <w:p w14:paraId="2647297C" w14:textId="3ED9EDB0" w:rsidR="000E03BE" w:rsidRPr="00F731BA" w:rsidRDefault="000E03BE" w:rsidP="00B627E0">
      <w:pPr>
        <w:spacing w:line="240" w:lineRule="auto"/>
        <w:rPr>
          <w:color w:val="000000" w:themeColor="text1"/>
        </w:rPr>
      </w:pPr>
      <w:r w:rsidRPr="00F731BA">
        <w:rPr>
          <w:color w:val="000000" w:themeColor="text1"/>
        </w:rPr>
        <w:tab/>
      </w:r>
      <w:r w:rsidR="00721C42" w:rsidRPr="00F731BA">
        <w:rPr>
          <w:color w:val="000000" w:themeColor="text1"/>
        </w:rPr>
        <w:t>W</w:t>
      </w:r>
      <w:r w:rsidRPr="00F731BA">
        <w:rPr>
          <w:color w:val="000000" w:themeColor="text1"/>
        </w:rPr>
        <w:t xml:space="preserve">e conclude this second theme from </w:t>
      </w:r>
      <w:r w:rsidR="006B474F" w:rsidRPr="00F731BA">
        <w:rPr>
          <w:color w:val="000000" w:themeColor="text1"/>
        </w:rPr>
        <w:t>this</w:t>
      </w:r>
      <w:r w:rsidRPr="00F731BA">
        <w:rPr>
          <w:color w:val="000000" w:themeColor="text1"/>
        </w:rPr>
        <w:t xml:space="preserve"> gender-expansive </w:t>
      </w:r>
      <w:r w:rsidR="006B474F" w:rsidRPr="00F731BA">
        <w:rPr>
          <w:color w:val="000000" w:themeColor="text1"/>
        </w:rPr>
        <w:t xml:space="preserve">analysis </w:t>
      </w:r>
      <w:r w:rsidRPr="00F731BA">
        <w:rPr>
          <w:color w:val="000000" w:themeColor="text1"/>
        </w:rPr>
        <w:t xml:space="preserve">of ELECT and HDLH with a caution about gender </w:t>
      </w:r>
      <w:r w:rsidR="00721C42" w:rsidRPr="00F731BA">
        <w:rPr>
          <w:color w:val="000000" w:themeColor="text1"/>
        </w:rPr>
        <w:t xml:space="preserve">conformity </w:t>
      </w:r>
      <w:r w:rsidRPr="00F731BA">
        <w:rPr>
          <w:color w:val="000000" w:themeColor="text1"/>
        </w:rPr>
        <w:t xml:space="preserve">as a function of </w:t>
      </w:r>
      <w:r w:rsidRPr="00F731BA">
        <w:rPr>
          <w:i/>
          <w:color w:val="000000" w:themeColor="text1"/>
        </w:rPr>
        <w:t>time</w:t>
      </w:r>
      <w:r w:rsidR="00721C42" w:rsidRPr="00F731BA">
        <w:rPr>
          <w:i/>
          <w:color w:val="000000" w:themeColor="text1"/>
        </w:rPr>
        <w:t xml:space="preserve"> </w:t>
      </w:r>
      <w:r w:rsidR="00721C42" w:rsidRPr="00F731BA">
        <w:rPr>
          <w:color w:val="000000" w:themeColor="text1"/>
        </w:rPr>
        <w:t>in the early ye</w:t>
      </w:r>
      <w:r w:rsidR="00B9442E" w:rsidRPr="00F731BA">
        <w:rPr>
          <w:color w:val="000000" w:themeColor="text1"/>
        </w:rPr>
        <w:t>ars</w:t>
      </w:r>
      <w:r w:rsidR="00721C42" w:rsidRPr="00F731BA">
        <w:rPr>
          <w:color w:val="000000" w:themeColor="text1"/>
        </w:rPr>
        <w:t xml:space="preserve"> classroom</w:t>
      </w:r>
      <w:r w:rsidRPr="00F731BA">
        <w:rPr>
          <w:color w:val="000000" w:themeColor="text1"/>
        </w:rPr>
        <w:t xml:space="preserve">. The duration of another person’s focus or interest can be interpreted as affirmation </w:t>
      </w:r>
      <w:r w:rsidR="007B329B" w:rsidRPr="00F731BA">
        <w:rPr>
          <w:color w:val="000000" w:themeColor="text1"/>
        </w:rPr>
        <w:t xml:space="preserve">(or not) </w:t>
      </w:r>
      <w:r w:rsidRPr="00F731BA">
        <w:rPr>
          <w:color w:val="000000" w:themeColor="text1"/>
        </w:rPr>
        <w:t xml:space="preserve">of what one is sharing. </w:t>
      </w:r>
      <w:r w:rsidR="007B329B" w:rsidRPr="00F731BA">
        <w:rPr>
          <w:color w:val="000000" w:themeColor="text1"/>
        </w:rPr>
        <w:t>C</w:t>
      </w:r>
      <w:r w:rsidRPr="00F731BA">
        <w:rPr>
          <w:color w:val="000000" w:themeColor="text1"/>
        </w:rPr>
        <w:t xml:space="preserve">onsider formal moments like show-and-tell or circle sharing, or </w:t>
      </w:r>
      <w:r w:rsidR="007B329B" w:rsidRPr="00F731BA">
        <w:rPr>
          <w:color w:val="000000" w:themeColor="text1"/>
        </w:rPr>
        <w:t xml:space="preserve">informal </w:t>
      </w:r>
      <w:r w:rsidRPr="00F731BA">
        <w:rPr>
          <w:color w:val="000000" w:themeColor="text1"/>
        </w:rPr>
        <w:t>conversations wherein children are informally sharing about their lives with a</w:t>
      </w:r>
      <w:r w:rsidR="002606E6" w:rsidRPr="00F731BA">
        <w:rPr>
          <w:color w:val="000000" w:themeColor="text1"/>
        </w:rPr>
        <w:t>n</w:t>
      </w:r>
      <w:r w:rsidRPr="00F731BA">
        <w:rPr>
          <w:color w:val="000000" w:themeColor="text1"/>
        </w:rPr>
        <w:t xml:space="preserve"> ECE. The gender binary produces some (gender-conforming) things as intuitive and not requiring explanation, but produces other things as </w:t>
      </w:r>
      <w:r w:rsidR="005824E2" w:rsidRPr="00F731BA">
        <w:rPr>
          <w:color w:val="000000" w:themeColor="text1"/>
        </w:rPr>
        <w:t>“</w:t>
      </w:r>
      <w:r w:rsidRPr="00F731BA">
        <w:rPr>
          <w:color w:val="000000" w:themeColor="text1"/>
        </w:rPr>
        <w:t>complicated</w:t>
      </w:r>
      <w:r w:rsidR="005824E2" w:rsidRPr="00F731BA">
        <w:rPr>
          <w:color w:val="000000" w:themeColor="text1"/>
        </w:rPr>
        <w:t>”</w:t>
      </w:r>
      <w:r w:rsidRPr="00F731BA">
        <w:rPr>
          <w:color w:val="000000" w:themeColor="text1"/>
        </w:rPr>
        <w:t xml:space="preserve"> or </w:t>
      </w:r>
      <w:r w:rsidR="005824E2" w:rsidRPr="00F731BA">
        <w:rPr>
          <w:color w:val="000000" w:themeColor="text1"/>
        </w:rPr>
        <w:t>“</w:t>
      </w:r>
      <w:r w:rsidRPr="00F731BA">
        <w:rPr>
          <w:color w:val="000000" w:themeColor="text1"/>
        </w:rPr>
        <w:t>excessive.</w:t>
      </w:r>
      <w:r w:rsidR="005824E2" w:rsidRPr="00F731BA">
        <w:rPr>
          <w:color w:val="000000" w:themeColor="text1"/>
        </w:rPr>
        <w:t>”</w:t>
      </w:r>
      <w:r w:rsidRPr="00F731BA">
        <w:rPr>
          <w:color w:val="000000" w:themeColor="text1"/>
        </w:rPr>
        <w:t xml:space="preserve"> When we invite children to speak about their families, for example, we may feel like a child is </w:t>
      </w:r>
      <w:r w:rsidR="005824E2" w:rsidRPr="00F731BA">
        <w:rPr>
          <w:color w:val="000000" w:themeColor="text1"/>
        </w:rPr>
        <w:t>“</w:t>
      </w:r>
      <w:r w:rsidRPr="00F731BA">
        <w:rPr>
          <w:color w:val="000000" w:themeColor="text1"/>
        </w:rPr>
        <w:t>sharing too much detail,</w:t>
      </w:r>
      <w:r w:rsidR="005824E2" w:rsidRPr="00F731BA">
        <w:rPr>
          <w:color w:val="000000" w:themeColor="text1"/>
        </w:rPr>
        <w:t>”</w:t>
      </w:r>
      <w:r w:rsidRPr="00F731BA">
        <w:rPr>
          <w:color w:val="000000" w:themeColor="text1"/>
        </w:rPr>
        <w:t xml:space="preserve"> or </w:t>
      </w:r>
      <w:r w:rsidR="005824E2" w:rsidRPr="00F731BA">
        <w:rPr>
          <w:color w:val="000000" w:themeColor="text1"/>
        </w:rPr>
        <w:t>“</w:t>
      </w:r>
      <w:r w:rsidRPr="00F731BA">
        <w:rPr>
          <w:color w:val="000000" w:themeColor="text1"/>
        </w:rPr>
        <w:t>taking too long</w:t>
      </w:r>
      <w:r w:rsidR="005824E2" w:rsidRPr="00F731BA">
        <w:rPr>
          <w:color w:val="000000" w:themeColor="text1"/>
        </w:rPr>
        <w:t>”</w:t>
      </w:r>
      <w:r w:rsidRPr="00F731BA">
        <w:rPr>
          <w:color w:val="000000" w:themeColor="text1"/>
        </w:rPr>
        <w:t xml:space="preserve"> when in fact their family exceeds our commonsensical ideas about family composition or roles. And so, we invite ECEs to notice when their attention is wandering from a child’s sharing, or when they find themselves becoming impatient; similarly, ECEs can greet </w:t>
      </w:r>
      <w:r w:rsidRPr="00F731BA">
        <w:rPr>
          <w:i/>
          <w:color w:val="000000" w:themeColor="text1"/>
        </w:rPr>
        <w:t>all</w:t>
      </w:r>
      <w:r w:rsidRPr="00F731BA">
        <w:rPr>
          <w:color w:val="000000" w:themeColor="text1"/>
        </w:rPr>
        <w:t xml:space="preserve"> children’s sharing about their gendered experiences with palpable interest even if </w:t>
      </w:r>
      <w:r w:rsidR="006472CB" w:rsidRPr="00F731BA">
        <w:rPr>
          <w:color w:val="000000" w:themeColor="text1"/>
        </w:rPr>
        <w:t>these</w:t>
      </w:r>
      <w:r w:rsidRPr="00F731BA">
        <w:rPr>
          <w:color w:val="000000" w:themeColor="text1"/>
        </w:rPr>
        <w:t xml:space="preserve"> seem mundane. These gender-expansive practices reflect HDLH’s insistence that an early years </w:t>
      </w:r>
      <w:r w:rsidR="005824E2" w:rsidRPr="00F731BA">
        <w:rPr>
          <w:color w:val="000000" w:themeColor="text1"/>
        </w:rPr>
        <w:t>“</w:t>
      </w:r>
      <w:r w:rsidRPr="00F731BA">
        <w:rPr>
          <w:color w:val="000000" w:themeColor="text1"/>
        </w:rPr>
        <w:t xml:space="preserve">program can foster communication and engagement [by] providing </w:t>
      </w:r>
      <w:r w:rsidRPr="00F731BA">
        <w:rPr>
          <w:iCs/>
          <w:color w:val="000000" w:themeColor="text1"/>
        </w:rPr>
        <w:t>time, space,</w:t>
      </w:r>
      <w:r w:rsidRPr="00F731BA">
        <w:rPr>
          <w:color w:val="000000" w:themeColor="text1"/>
        </w:rPr>
        <w:t xml:space="preserve"> and materials to encourage expression through creative material that reflect children’s capabilities as well as their social and cultural background</w:t>
      </w:r>
      <w:r w:rsidR="005824E2" w:rsidRPr="00F731BA">
        <w:rPr>
          <w:color w:val="000000" w:themeColor="text1"/>
        </w:rPr>
        <w:t>”</w:t>
      </w:r>
      <w:r w:rsidRPr="00F731BA">
        <w:rPr>
          <w:color w:val="000000" w:themeColor="text1"/>
        </w:rPr>
        <w:t xml:space="preserve"> (</w:t>
      </w:r>
      <w:r w:rsidR="005824E2" w:rsidRPr="00F731BA">
        <w:rPr>
          <w:color w:val="000000" w:themeColor="text1"/>
        </w:rPr>
        <w:t xml:space="preserve">p. </w:t>
      </w:r>
      <w:r w:rsidRPr="00F731BA">
        <w:rPr>
          <w:color w:val="000000" w:themeColor="text1"/>
        </w:rPr>
        <w:t xml:space="preserve">43). We suggest early years centres consider </w:t>
      </w:r>
      <w:r w:rsidR="004976B5" w:rsidRPr="00F731BA">
        <w:rPr>
          <w:color w:val="000000" w:themeColor="text1"/>
        </w:rPr>
        <w:t>this</w:t>
      </w:r>
      <w:r w:rsidRPr="00F731BA">
        <w:rPr>
          <w:color w:val="000000" w:themeColor="text1"/>
        </w:rPr>
        <w:t xml:space="preserve"> guiding question</w:t>
      </w:r>
      <w:r w:rsidR="004976B5" w:rsidRPr="00F731BA">
        <w:rPr>
          <w:color w:val="000000" w:themeColor="text1"/>
        </w:rPr>
        <w:t xml:space="preserve"> from HDLH</w:t>
      </w:r>
      <w:r w:rsidRPr="00F731BA">
        <w:rPr>
          <w:color w:val="000000" w:themeColor="text1"/>
        </w:rPr>
        <w:t xml:space="preserve"> in relation to gender diversity: </w:t>
      </w:r>
      <w:r w:rsidR="005824E2" w:rsidRPr="00F731BA">
        <w:rPr>
          <w:color w:val="000000" w:themeColor="text1"/>
        </w:rPr>
        <w:t>“</w:t>
      </w:r>
      <w:r w:rsidRPr="00F731BA">
        <w:rPr>
          <w:color w:val="000000" w:themeColor="text1"/>
        </w:rPr>
        <w:t>How can you make sure that every child, regardless of [their] communication abilities, is heard</w:t>
      </w:r>
      <w:r w:rsidR="005824E2" w:rsidRPr="00F731BA">
        <w:rPr>
          <w:color w:val="000000" w:themeColor="text1"/>
        </w:rPr>
        <w:t>”</w:t>
      </w:r>
      <w:r w:rsidRPr="00F731BA">
        <w:rPr>
          <w:color w:val="000000" w:themeColor="text1"/>
        </w:rPr>
        <w:t xml:space="preserve"> (</w:t>
      </w:r>
      <w:r w:rsidR="005824E2" w:rsidRPr="00F731BA">
        <w:rPr>
          <w:color w:val="000000" w:themeColor="text1"/>
        </w:rPr>
        <w:t xml:space="preserve">p. </w:t>
      </w:r>
      <w:r w:rsidRPr="00F731BA">
        <w:rPr>
          <w:color w:val="000000" w:themeColor="text1"/>
        </w:rPr>
        <w:t>45)?</w:t>
      </w:r>
      <w:r w:rsidR="00A17BA0" w:rsidRPr="00F731BA">
        <w:rPr>
          <w:color w:val="000000" w:themeColor="text1"/>
        </w:rPr>
        <w:t>’</w:t>
      </w:r>
      <w:r w:rsidR="00787859" w:rsidRPr="00F731BA">
        <w:rPr>
          <w:color w:val="000000" w:themeColor="text1"/>
        </w:rPr>
        <w:br/>
      </w:r>
    </w:p>
    <w:p w14:paraId="130F41E8" w14:textId="1FBACF86" w:rsidR="000E03BE" w:rsidRPr="00F731BA" w:rsidRDefault="000E03BE" w:rsidP="00B627E0">
      <w:pPr>
        <w:widowControl w:val="0"/>
        <w:spacing w:line="240" w:lineRule="auto"/>
        <w:rPr>
          <w:b/>
          <w:i/>
          <w:iCs/>
          <w:color w:val="000000" w:themeColor="text1"/>
        </w:rPr>
      </w:pPr>
      <w:r w:rsidRPr="00F731BA">
        <w:rPr>
          <w:b/>
          <w:i/>
          <w:iCs/>
          <w:color w:val="000000" w:themeColor="text1"/>
        </w:rPr>
        <w:t>Theme 3: A planned play-based curriculum is powerful for</w:t>
      </w:r>
      <w:r w:rsidRPr="00F731BA">
        <w:rPr>
          <w:b/>
          <w:bCs/>
          <w:i/>
          <w:iCs/>
          <w:color w:val="000000" w:themeColor="text1"/>
        </w:rPr>
        <w:t xml:space="preserve"> cultivating curiosity</w:t>
      </w:r>
      <w:r w:rsidRPr="00F731BA">
        <w:rPr>
          <w:b/>
          <w:i/>
          <w:iCs/>
          <w:color w:val="000000" w:themeColor="text1"/>
        </w:rPr>
        <w:t xml:space="preserve"> </w:t>
      </w:r>
      <w:r w:rsidR="00436A5B" w:rsidRPr="00F731BA">
        <w:rPr>
          <w:b/>
          <w:i/>
          <w:iCs/>
          <w:color w:val="000000" w:themeColor="text1"/>
        </w:rPr>
        <w:t xml:space="preserve">and </w:t>
      </w:r>
      <w:r w:rsidR="00436A5B" w:rsidRPr="00F731BA">
        <w:rPr>
          <w:b/>
          <w:bCs/>
          <w:i/>
          <w:color w:val="000000" w:themeColor="text1"/>
        </w:rPr>
        <w:t>affirming gender diversity</w:t>
      </w:r>
    </w:p>
    <w:p w14:paraId="4125BB58" w14:textId="25EB7418" w:rsidR="000E03BE" w:rsidRPr="00F731BA" w:rsidRDefault="005824E2" w:rsidP="00B627E0">
      <w:pPr>
        <w:widowControl w:val="0"/>
        <w:spacing w:line="240" w:lineRule="auto"/>
        <w:rPr>
          <w:color w:val="000000" w:themeColor="text1"/>
          <w:lang w:val="en-US"/>
        </w:rPr>
      </w:pPr>
      <w:r w:rsidRPr="00F731BA">
        <w:rPr>
          <w:color w:val="000000" w:themeColor="text1"/>
        </w:rPr>
        <w:t xml:space="preserve"> </w:t>
      </w:r>
      <w:r w:rsidRPr="00F731BA">
        <w:rPr>
          <w:color w:val="000000" w:themeColor="text1"/>
        </w:rPr>
        <w:tab/>
      </w:r>
      <w:r w:rsidR="000E03BE" w:rsidRPr="00F731BA">
        <w:rPr>
          <w:color w:val="000000" w:themeColor="text1"/>
        </w:rPr>
        <w:t xml:space="preserve">A final emphasis of ELECT and HDLH that, in </w:t>
      </w:r>
      <w:r w:rsidR="006B474F" w:rsidRPr="00F731BA">
        <w:rPr>
          <w:color w:val="000000" w:themeColor="text1"/>
        </w:rPr>
        <w:t xml:space="preserve">this analysis, </w:t>
      </w:r>
      <w:r w:rsidR="000E03BE" w:rsidRPr="00F731BA">
        <w:rPr>
          <w:color w:val="000000" w:themeColor="text1"/>
        </w:rPr>
        <w:t xml:space="preserve">supports and requires gender-expansive practice is play-based curriculum. ELECT’s Principle 4 charges </w:t>
      </w:r>
      <w:r w:rsidR="00787859" w:rsidRPr="00F731BA">
        <w:rPr>
          <w:color w:val="000000" w:themeColor="text1"/>
        </w:rPr>
        <w:t xml:space="preserve">ECEs </w:t>
      </w:r>
      <w:r w:rsidR="000E03BE" w:rsidRPr="00F731BA">
        <w:rPr>
          <w:color w:val="000000" w:themeColor="text1"/>
        </w:rPr>
        <w:t xml:space="preserve">with considering </w:t>
      </w:r>
      <w:r w:rsidR="00CF21C2" w:rsidRPr="00F731BA">
        <w:rPr>
          <w:color w:val="000000" w:themeColor="text1"/>
        </w:rPr>
        <w:t xml:space="preserve">their learners’ </w:t>
      </w:r>
      <w:r w:rsidR="000E03BE" w:rsidRPr="00F731BA">
        <w:rPr>
          <w:color w:val="000000" w:themeColor="text1"/>
        </w:rPr>
        <w:t xml:space="preserve">particular characteristics </w:t>
      </w:r>
      <w:r w:rsidR="00CF21C2" w:rsidRPr="00F731BA">
        <w:rPr>
          <w:color w:val="000000" w:themeColor="text1"/>
        </w:rPr>
        <w:t>in</w:t>
      </w:r>
      <w:r w:rsidR="000E03BE" w:rsidRPr="00F731BA">
        <w:rPr>
          <w:color w:val="000000" w:themeColor="text1"/>
        </w:rPr>
        <w:t xml:space="preserve"> </w:t>
      </w:r>
      <w:r w:rsidR="00CF21C2" w:rsidRPr="00F731BA">
        <w:rPr>
          <w:color w:val="000000" w:themeColor="text1"/>
        </w:rPr>
        <w:t xml:space="preserve">curriculum </w:t>
      </w:r>
      <w:r w:rsidR="000E03BE" w:rsidRPr="00F731BA">
        <w:rPr>
          <w:color w:val="000000" w:themeColor="text1"/>
        </w:rPr>
        <w:t xml:space="preserve">planning; this involves developing </w:t>
      </w:r>
      <w:r w:rsidRPr="00F731BA">
        <w:rPr>
          <w:color w:val="000000" w:themeColor="text1"/>
        </w:rPr>
        <w:t>“</w:t>
      </w:r>
      <w:r w:rsidR="000E03BE" w:rsidRPr="00F731BA">
        <w:rPr>
          <w:color w:val="000000" w:themeColor="text1"/>
        </w:rPr>
        <w:t>specific goals for children that support self-regulation (behaviour, emotion and attention), identity, social inclusion, health and well-being</w:t>
      </w:r>
      <w:r w:rsidRPr="00F731BA">
        <w:rPr>
          <w:color w:val="000000" w:themeColor="text1"/>
        </w:rPr>
        <w:t>”</w:t>
      </w:r>
      <w:r w:rsidR="000E03BE" w:rsidRPr="00F731BA">
        <w:rPr>
          <w:color w:val="000000" w:themeColor="text1"/>
        </w:rPr>
        <w:t xml:space="preserve"> (</w:t>
      </w:r>
      <w:r w:rsidRPr="00F731BA">
        <w:rPr>
          <w:color w:val="000000" w:themeColor="text1"/>
        </w:rPr>
        <w:t xml:space="preserve">p. </w:t>
      </w:r>
      <w:r w:rsidR="000E03BE" w:rsidRPr="00F731BA">
        <w:rPr>
          <w:color w:val="000000" w:themeColor="text1"/>
        </w:rPr>
        <w:t xml:space="preserve">14), and not only </w:t>
      </w:r>
      <w:r w:rsidR="00CF21C2" w:rsidRPr="00F731BA">
        <w:rPr>
          <w:color w:val="000000" w:themeColor="text1"/>
        </w:rPr>
        <w:t>foundational skills</w:t>
      </w:r>
      <w:r w:rsidR="000E03BE" w:rsidRPr="00F731BA">
        <w:rPr>
          <w:color w:val="000000" w:themeColor="text1"/>
        </w:rPr>
        <w:t xml:space="preserve">. A curriculum that supports </w:t>
      </w:r>
      <w:r w:rsidR="00C74F32" w:rsidRPr="00F731BA">
        <w:rPr>
          <w:color w:val="000000" w:themeColor="text1"/>
        </w:rPr>
        <w:t>identity and social inclusion</w:t>
      </w:r>
      <w:r w:rsidR="000E03BE" w:rsidRPr="00F731BA">
        <w:rPr>
          <w:color w:val="000000" w:themeColor="text1"/>
        </w:rPr>
        <w:t xml:space="preserve"> is one that attends to gender diversity. </w:t>
      </w:r>
      <w:r w:rsidR="00801AB4" w:rsidRPr="00F731BA">
        <w:rPr>
          <w:color w:val="000000" w:themeColor="text1"/>
        </w:rPr>
        <w:t>In</w:t>
      </w:r>
      <w:r w:rsidR="000E03BE" w:rsidRPr="00F731BA">
        <w:rPr>
          <w:color w:val="000000" w:themeColor="text1"/>
        </w:rPr>
        <w:t xml:space="preserve"> conceptualiz</w:t>
      </w:r>
      <w:r w:rsidR="00801AB4" w:rsidRPr="00F731BA">
        <w:rPr>
          <w:color w:val="000000" w:themeColor="text1"/>
        </w:rPr>
        <w:t>ing</w:t>
      </w:r>
      <w:r w:rsidR="000E03BE" w:rsidRPr="00F731BA">
        <w:rPr>
          <w:color w:val="000000" w:themeColor="text1"/>
        </w:rPr>
        <w:t xml:space="preserve"> gender-expansive early years practice, we offered an example of play-based curriculum that does the opposite: reinforcing and even rewarding gender-conforming choice by providing e.g., </w:t>
      </w:r>
      <w:r w:rsidR="00801AB4" w:rsidRPr="00F731BA">
        <w:rPr>
          <w:color w:val="000000" w:themeColor="text1"/>
        </w:rPr>
        <w:t xml:space="preserve">only a </w:t>
      </w:r>
      <w:r w:rsidR="000E03BE" w:rsidRPr="00F731BA">
        <w:rPr>
          <w:color w:val="000000" w:themeColor="text1"/>
        </w:rPr>
        <w:t xml:space="preserve">race car track and home centre as free play options. </w:t>
      </w:r>
      <w:r w:rsidR="000E03BE" w:rsidRPr="00F731BA">
        <w:rPr>
          <w:color w:val="000000" w:themeColor="text1"/>
          <w:lang w:val="en-US"/>
        </w:rPr>
        <w:t xml:space="preserve">Boys and girls tend to gravitate towards different play spaces as they find pleasure in </w:t>
      </w:r>
      <w:r w:rsidRPr="00F731BA">
        <w:rPr>
          <w:color w:val="000000" w:themeColor="text1"/>
          <w:lang w:val="en-US"/>
        </w:rPr>
        <w:t>“</w:t>
      </w:r>
      <w:r w:rsidR="000E03BE" w:rsidRPr="00F731BA">
        <w:rPr>
          <w:color w:val="000000" w:themeColor="text1"/>
          <w:lang w:val="en-US"/>
        </w:rPr>
        <w:t>getting it right</w:t>
      </w:r>
      <w:r w:rsidRPr="00F731BA">
        <w:rPr>
          <w:color w:val="000000" w:themeColor="text1"/>
          <w:lang w:val="en-US"/>
        </w:rPr>
        <w:t>”</w:t>
      </w:r>
      <w:r w:rsidR="000E03BE" w:rsidRPr="00F731BA">
        <w:rPr>
          <w:color w:val="000000" w:themeColor="text1"/>
          <w:lang w:val="en-US"/>
        </w:rPr>
        <w:t xml:space="preserve"> (MacNaughton</w:t>
      </w:r>
      <w:r w:rsidR="00C560F1" w:rsidRPr="00F731BA">
        <w:rPr>
          <w:color w:val="000000" w:themeColor="text1"/>
          <w:lang w:val="en-US"/>
        </w:rPr>
        <w:t>,</w:t>
      </w:r>
      <w:r w:rsidR="000E03BE" w:rsidRPr="00F731BA">
        <w:rPr>
          <w:color w:val="000000" w:themeColor="text1"/>
          <w:lang w:val="en-US"/>
        </w:rPr>
        <w:t xml:space="preserve"> 2006). Children learn early on how they should position themselves in the learning environment </w:t>
      </w:r>
      <w:r w:rsidR="00801AB4" w:rsidRPr="00F731BA">
        <w:rPr>
          <w:color w:val="000000" w:themeColor="text1"/>
          <w:lang w:val="en-US"/>
        </w:rPr>
        <w:t>according to</w:t>
      </w:r>
      <w:r w:rsidR="000E03BE" w:rsidRPr="00F731BA">
        <w:rPr>
          <w:color w:val="000000" w:themeColor="text1"/>
          <w:lang w:val="en-US"/>
        </w:rPr>
        <w:t xml:space="preserve"> dominant gender </w:t>
      </w:r>
      <w:r w:rsidR="00801AB4" w:rsidRPr="00F731BA">
        <w:rPr>
          <w:color w:val="000000" w:themeColor="text1"/>
          <w:lang w:val="en-US"/>
        </w:rPr>
        <w:t>expectations</w:t>
      </w:r>
      <w:r w:rsidR="000E03BE" w:rsidRPr="00F731BA">
        <w:rPr>
          <w:color w:val="000000" w:themeColor="text1"/>
          <w:lang w:val="en-US"/>
        </w:rPr>
        <w:t xml:space="preserve">; therefore, educators must consider the ways in which they unconsciously mark play spaces as </w:t>
      </w:r>
      <w:r w:rsidR="0063117E" w:rsidRPr="00F731BA">
        <w:rPr>
          <w:color w:val="000000" w:themeColor="text1"/>
          <w:lang w:val="en-US"/>
        </w:rPr>
        <w:t xml:space="preserve">“for girls” </w:t>
      </w:r>
      <w:r w:rsidR="000E03BE" w:rsidRPr="00F731BA">
        <w:rPr>
          <w:color w:val="000000" w:themeColor="text1"/>
          <w:lang w:val="en-US"/>
        </w:rPr>
        <w:t xml:space="preserve">or </w:t>
      </w:r>
      <w:r w:rsidR="0063117E" w:rsidRPr="00F731BA">
        <w:rPr>
          <w:color w:val="000000" w:themeColor="text1"/>
          <w:lang w:val="en-US"/>
        </w:rPr>
        <w:t xml:space="preserve">“for boys” </w:t>
      </w:r>
      <w:r w:rsidR="000E03BE" w:rsidRPr="00F731BA">
        <w:rPr>
          <w:color w:val="000000" w:themeColor="text1"/>
          <w:lang w:val="en-US"/>
        </w:rPr>
        <w:t xml:space="preserve">and influence </w:t>
      </w:r>
      <w:r w:rsidR="00801AB4" w:rsidRPr="00F731BA">
        <w:rPr>
          <w:color w:val="000000" w:themeColor="text1"/>
          <w:lang w:val="en-US"/>
        </w:rPr>
        <w:t xml:space="preserve">children’s </w:t>
      </w:r>
      <w:r w:rsidR="000E03BE" w:rsidRPr="00F731BA">
        <w:rPr>
          <w:color w:val="000000" w:themeColor="text1"/>
          <w:lang w:val="en-US"/>
        </w:rPr>
        <w:t>play choices.</w:t>
      </w:r>
      <w:r w:rsidR="000E03BE" w:rsidRPr="00F731BA">
        <w:rPr>
          <w:rFonts w:ascii="Calibri" w:hAnsi="Calibri" w:cs="Calibri"/>
          <w:color w:val="000000" w:themeColor="text1"/>
          <w:lang w:val="en-US"/>
        </w:rPr>
        <w:t xml:space="preserve"> </w:t>
      </w:r>
      <w:r w:rsidR="000E03BE" w:rsidRPr="00F731BA">
        <w:rPr>
          <w:color w:val="000000" w:themeColor="text1"/>
        </w:rPr>
        <w:t xml:space="preserve">ELECT holds that </w:t>
      </w:r>
      <w:r w:rsidRPr="00F731BA">
        <w:rPr>
          <w:color w:val="000000" w:themeColor="text1"/>
        </w:rPr>
        <w:t>“</w:t>
      </w:r>
      <w:r w:rsidR="000E03BE" w:rsidRPr="00F731BA">
        <w:rPr>
          <w:color w:val="000000" w:themeColor="text1"/>
        </w:rPr>
        <w:t>[t]he understanding that what one believes and what others believe may not be the same is a critical element in the development of theory of mind that is acquired around four years of age</w:t>
      </w:r>
      <w:r w:rsidRPr="00F731BA">
        <w:rPr>
          <w:color w:val="000000" w:themeColor="text1"/>
        </w:rPr>
        <w:t xml:space="preserve">” </w:t>
      </w:r>
      <w:r w:rsidR="000E03BE" w:rsidRPr="00F731BA">
        <w:rPr>
          <w:color w:val="000000" w:themeColor="text1"/>
        </w:rPr>
        <w:t>(</w:t>
      </w:r>
      <w:r w:rsidRPr="00F731BA">
        <w:rPr>
          <w:color w:val="000000" w:themeColor="text1"/>
        </w:rPr>
        <w:t xml:space="preserve">p. </w:t>
      </w:r>
      <w:r w:rsidR="000E03BE" w:rsidRPr="00F731BA">
        <w:rPr>
          <w:color w:val="000000" w:themeColor="text1"/>
        </w:rPr>
        <w:t xml:space="preserve">14; citing the research of Astington 1993). We observe that this easily extends to gender, given that young children tend toward enforcing </w:t>
      </w:r>
      <w:r w:rsidR="001F66EB" w:rsidRPr="00F731BA">
        <w:rPr>
          <w:color w:val="000000" w:themeColor="text1"/>
        </w:rPr>
        <w:t xml:space="preserve">contextual </w:t>
      </w:r>
      <w:r w:rsidR="000E03BE" w:rsidRPr="00F731BA">
        <w:rPr>
          <w:color w:val="000000" w:themeColor="text1"/>
        </w:rPr>
        <w:t xml:space="preserve">gender norms on each other. </w:t>
      </w:r>
      <w:r w:rsidR="001F66EB" w:rsidRPr="00F731BA">
        <w:rPr>
          <w:color w:val="000000" w:themeColor="text1"/>
        </w:rPr>
        <w:t xml:space="preserve">As </w:t>
      </w:r>
      <w:r w:rsidRPr="00F731BA">
        <w:rPr>
          <w:color w:val="000000" w:themeColor="text1"/>
        </w:rPr>
        <w:t>“</w:t>
      </w:r>
      <w:r w:rsidR="000E03BE" w:rsidRPr="00F731BA">
        <w:rPr>
          <w:color w:val="000000" w:themeColor="text1"/>
        </w:rPr>
        <w:t>[e]ffective settings take advantage of play and embed opportunities for learning in the physical environment and play activities</w:t>
      </w:r>
      <w:r w:rsidRPr="00F731BA">
        <w:rPr>
          <w:color w:val="000000" w:themeColor="text1"/>
        </w:rPr>
        <w:t>”</w:t>
      </w:r>
      <w:r w:rsidR="000E03BE" w:rsidRPr="00F731BA">
        <w:rPr>
          <w:color w:val="000000" w:themeColor="text1"/>
        </w:rPr>
        <w:t xml:space="preserve"> (</w:t>
      </w:r>
      <w:r w:rsidRPr="00F731BA">
        <w:rPr>
          <w:color w:val="000000" w:themeColor="text1"/>
        </w:rPr>
        <w:t xml:space="preserve">p. </w:t>
      </w:r>
      <w:r w:rsidR="000E03BE" w:rsidRPr="00F731BA">
        <w:rPr>
          <w:color w:val="000000" w:themeColor="text1"/>
        </w:rPr>
        <w:t xml:space="preserve">15), </w:t>
      </w:r>
      <w:r w:rsidR="001F66EB" w:rsidRPr="00F731BA">
        <w:rPr>
          <w:color w:val="000000" w:themeColor="text1"/>
        </w:rPr>
        <w:t xml:space="preserve">play can become a powerful tool for affirming gender diversity in the early years. ECEs can be proactive by examining the </w:t>
      </w:r>
      <w:r w:rsidR="001F66EB" w:rsidRPr="00F731BA">
        <w:rPr>
          <w:color w:val="000000" w:themeColor="text1"/>
        </w:rPr>
        <w:lastRenderedPageBreak/>
        <w:t>decisions they make when planning lessons and designing the learning environment.</w:t>
      </w:r>
    </w:p>
    <w:p w14:paraId="5F91065E" w14:textId="64822F0B" w:rsidR="000E03BE" w:rsidRPr="00F731BA" w:rsidRDefault="000E03BE" w:rsidP="00B627E0">
      <w:pPr>
        <w:widowControl w:val="0"/>
        <w:spacing w:line="240" w:lineRule="auto"/>
        <w:rPr>
          <w:color w:val="000000" w:themeColor="text1"/>
        </w:rPr>
      </w:pPr>
      <w:r w:rsidRPr="00F731BA">
        <w:rPr>
          <w:color w:val="000000" w:themeColor="text1"/>
        </w:rPr>
        <w:t xml:space="preserve"> </w:t>
      </w:r>
      <w:r w:rsidRPr="00F731BA">
        <w:rPr>
          <w:color w:val="000000" w:themeColor="text1"/>
        </w:rPr>
        <w:tab/>
        <w:t>One area of proactive gender-expansive practice is examining the materials available</w:t>
      </w:r>
      <w:r w:rsidR="00787859" w:rsidRPr="00F731BA">
        <w:rPr>
          <w:color w:val="000000" w:themeColor="text1"/>
        </w:rPr>
        <w:t xml:space="preserve">. </w:t>
      </w:r>
      <w:r w:rsidRPr="00F731BA">
        <w:rPr>
          <w:color w:val="000000" w:themeColor="text1"/>
        </w:rPr>
        <w:t xml:space="preserve">When these materials offer all children a range of ways to explore gender, they accord with HDLH’s guidance that ECEs provide </w:t>
      </w:r>
      <w:r w:rsidR="005824E2" w:rsidRPr="00F731BA">
        <w:rPr>
          <w:color w:val="000000" w:themeColor="text1"/>
        </w:rPr>
        <w:t>“</w:t>
      </w:r>
      <w:r w:rsidRPr="00F731BA">
        <w:rPr>
          <w:color w:val="000000" w:themeColor="text1"/>
        </w:rPr>
        <w:t>a wide variety of interesting objects and open-ended materials for children to explore with their senses, manipulate, and investigate</w:t>
      </w:r>
      <w:r w:rsidR="005824E2" w:rsidRPr="00F731BA">
        <w:rPr>
          <w:color w:val="000000" w:themeColor="text1"/>
        </w:rPr>
        <w:t>”</w:t>
      </w:r>
      <w:r w:rsidRPr="00F731BA">
        <w:rPr>
          <w:color w:val="000000" w:themeColor="text1"/>
        </w:rPr>
        <w:t xml:space="preserve"> (</w:t>
      </w:r>
      <w:r w:rsidR="005824E2" w:rsidRPr="00F731BA">
        <w:rPr>
          <w:color w:val="000000" w:themeColor="text1"/>
        </w:rPr>
        <w:t xml:space="preserve">p. </w:t>
      </w:r>
      <w:r w:rsidRPr="00F731BA">
        <w:rPr>
          <w:color w:val="000000" w:themeColor="text1"/>
        </w:rPr>
        <w:t xml:space="preserve">37). </w:t>
      </w:r>
      <w:r w:rsidR="00951D58" w:rsidRPr="00F731BA">
        <w:rPr>
          <w:color w:val="000000" w:themeColor="text1"/>
        </w:rPr>
        <w:t>Like their</w:t>
      </w:r>
      <w:r w:rsidRPr="00F731BA">
        <w:rPr>
          <w:color w:val="000000" w:themeColor="text1"/>
        </w:rPr>
        <w:t xml:space="preserve"> age peers, gender-creative </w:t>
      </w:r>
      <w:r w:rsidR="00E1040A" w:rsidRPr="00F731BA">
        <w:rPr>
          <w:color w:val="000000" w:themeColor="text1"/>
        </w:rPr>
        <w:t xml:space="preserve">(etc.) </w:t>
      </w:r>
      <w:r w:rsidRPr="00F731BA">
        <w:rPr>
          <w:color w:val="000000" w:themeColor="text1"/>
        </w:rPr>
        <w:t xml:space="preserve">young children are </w:t>
      </w:r>
      <w:r w:rsidR="00B1782E" w:rsidRPr="00F731BA">
        <w:rPr>
          <w:color w:val="000000" w:themeColor="text1"/>
        </w:rPr>
        <w:t>“</w:t>
      </w:r>
      <w:r w:rsidRPr="00F731BA">
        <w:rPr>
          <w:color w:val="000000" w:themeColor="text1"/>
        </w:rPr>
        <w:t>most likely to engage in long, complex episodes of play and demonstrate interest in learning when educators value their ideas and contributions to the Curriculum</w:t>
      </w:r>
      <w:r w:rsidR="001A69AF" w:rsidRPr="00F731BA">
        <w:rPr>
          <w:color w:val="000000" w:themeColor="text1"/>
        </w:rPr>
        <w:t>”</w:t>
      </w:r>
      <w:r w:rsidRPr="00F731BA">
        <w:rPr>
          <w:color w:val="000000" w:themeColor="text1"/>
        </w:rPr>
        <w:t xml:space="preserve"> (</w:t>
      </w:r>
      <w:r w:rsidR="001A69AF" w:rsidRPr="00F731BA">
        <w:rPr>
          <w:color w:val="000000" w:themeColor="text1"/>
        </w:rPr>
        <w:t xml:space="preserve">p. </w:t>
      </w:r>
      <w:r w:rsidRPr="00F731BA">
        <w:rPr>
          <w:color w:val="000000" w:themeColor="text1"/>
        </w:rPr>
        <w:t>35)</w:t>
      </w:r>
      <w:r w:rsidR="00AA1E6D" w:rsidRPr="00F731BA">
        <w:rPr>
          <w:color w:val="000000" w:themeColor="text1"/>
        </w:rPr>
        <w:t xml:space="preserve">. </w:t>
      </w:r>
      <w:r w:rsidR="002B3F3E" w:rsidRPr="00F731BA">
        <w:rPr>
          <w:color w:val="000000" w:themeColor="text1"/>
        </w:rPr>
        <w:t>The</w:t>
      </w:r>
      <w:r w:rsidR="006B474F" w:rsidRPr="00F731BA">
        <w:rPr>
          <w:color w:val="000000" w:themeColor="text1"/>
        </w:rPr>
        <w:t xml:space="preserve"> researchers suggest the</w:t>
      </w:r>
      <w:r w:rsidR="002B3F3E" w:rsidRPr="00F731BA">
        <w:rPr>
          <w:color w:val="000000" w:themeColor="text1"/>
        </w:rPr>
        <w:t xml:space="preserve"> strategies below </w:t>
      </w:r>
      <w:r w:rsidR="006B474F" w:rsidRPr="00F731BA">
        <w:rPr>
          <w:color w:val="000000" w:themeColor="text1"/>
        </w:rPr>
        <w:t xml:space="preserve">to </w:t>
      </w:r>
      <w:r w:rsidR="007858D3" w:rsidRPr="00F731BA">
        <w:rPr>
          <w:color w:val="000000" w:themeColor="text1"/>
        </w:rPr>
        <w:t xml:space="preserve">help </w:t>
      </w:r>
      <w:r w:rsidRPr="00F731BA">
        <w:rPr>
          <w:color w:val="000000" w:themeColor="text1"/>
        </w:rPr>
        <w:t xml:space="preserve">all children </w:t>
      </w:r>
      <w:r w:rsidR="007858D3" w:rsidRPr="00F731BA">
        <w:rPr>
          <w:color w:val="000000" w:themeColor="text1"/>
        </w:rPr>
        <w:t>to</w:t>
      </w:r>
      <w:r w:rsidRPr="00F731BA">
        <w:rPr>
          <w:color w:val="000000" w:themeColor="text1"/>
        </w:rPr>
        <w:t xml:space="preserve"> feel as though their experiences of gender are valued in the early years</w:t>
      </w:r>
      <w:r w:rsidR="006B474F" w:rsidRPr="00F731BA">
        <w:rPr>
          <w:color w:val="000000" w:themeColor="text1"/>
        </w:rPr>
        <w:t>:</w:t>
      </w:r>
    </w:p>
    <w:p w14:paraId="59AE3776" w14:textId="77777777" w:rsidR="000E03BE" w:rsidRPr="00F731BA" w:rsidRDefault="000E03BE" w:rsidP="00B627E0">
      <w:pPr>
        <w:widowControl w:val="0"/>
        <w:numPr>
          <w:ilvl w:val="0"/>
          <w:numId w:val="32"/>
        </w:numPr>
        <w:spacing w:line="240" w:lineRule="auto"/>
        <w:rPr>
          <w:color w:val="000000" w:themeColor="text1"/>
        </w:rPr>
      </w:pPr>
      <w:r w:rsidRPr="00F731BA">
        <w:rPr>
          <w:color w:val="000000" w:themeColor="text1"/>
        </w:rPr>
        <w:t>creating and using materials that represent a variety of gender expressions, including of boys, girls, men and women who express gender in both conforming and non-conforming ways;</w:t>
      </w:r>
    </w:p>
    <w:p w14:paraId="0B92989D" w14:textId="446DE9AE" w:rsidR="000E03BE" w:rsidRPr="00F731BA" w:rsidRDefault="000E03BE" w:rsidP="00B627E0">
      <w:pPr>
        <w:widowControl w:val="0"/>
        <w:numPr>
          <w:ilvl w:val="0"/>
          <w:numId w:val="32"/>
        </w:numPr>
        <w:spacing w:line="240" w:lineRule="auto"/>
        <w:rPr>
          <w:color w:val="000000" w:themeColor="text1"/>
        </w:rPr>
      </w:pPr>
      <w:r w:rsidRPr="00F731BA">
        <w:rPr>
          <w:color w:val="000000" w:themeColor="text1"/>
        </w:rPr>
        <w:t xml:space="preserve">being intentional in how and when to set out different stereotypically-gendered materials, toys, and dress-up clothes, such as having a </w:t>
      </w:r>
      <w:r w:rsidR="00DF68D2" w:rsidRPr="00F731BA">
        <w:rPr>
          <w:color w:val="000000" w:themeColor="text1"/>
        </w:rPr>
        <w:t>“</w:t>
      </w:r>
      <w:r w:rsidRPr="00F731BA">
        <w:rPr>
          <w:color w:val="000000" w:themeColor="text1"/>
        </w:rPr>
        <w:t>pirate day</w:t>
      </w:r>
      <w:r w:rsidR="00DF68D2" w:rsidRPr="00F731BA">
        <w:rPr>
          <w:color w:val="000000" w:themeColor="text1"/>
        </w:rPr>
        <w:t>”</w:t>
      </w:r>
      <w:r w:rsidRPr="00F731BA">
        <w:rPr>
          <w:color w:val="000000" w:themeColor="text1"/>
        </w:rPr>
        <w:t xml:space="preserve"> for everyone in which all children are encouraged to participate (in lieu of having pirate and princess options in the dress-up area on all days);</w:t>
      </w:r>
    </w:p>
    <w:p w14:paraId="11F58459" w14:textId="77777777" w:rsidR="000E03BE" w:rsidRPr="00F731BA" w:rsidRDefault="000E03BE" w:rsidP="00B627E0">
      <w:pPr>
        <w:widowControl w:val="0"/>
        <w:numPr>
          <w:ilvl w:val="0"/>
          <w:numId w:val="36"/>
        </w:numPr>
        <w:spacing w:line="240" w:lineRule="auto"/>
        <w:rPr>
          <w:color w:val="000000" w:themeColor="text1"/>
        </w:rPr>
      </w:pPr>
      <w:r w:rsidRPr="00F731BA">
        <w:rPr>
          <w:color w:val="000000" w:themeColor="text1"/>
        </w:rPr>
        <w:t>integrating books with transgender and/or gender non-conforming main or secondary characters when selecting books on a particular theme (e.g., bullying, friendship, family) so that these books are seamlessly integrated into the curriculum;</w:t>
      </w:r>
    </w:p>
    <w:p w14:paraId="12E2FE7C" w14:textId="7CF4F53F" w:rsidR="000E03BE" w:rsidRPr="00F731BA" w:rsidRDefault="000E03BE" w:rsidP="00B627E0">
      <w:pPr>
        <w:widowControl w:val="0"/>
        <w:numPr>
          <w:ilvl w:val="0"/>
          <w:numId w:val="36"/>
        </w:numPr>
        <w:spacing w:line="240" w:lineRule="auto"/>
        <w:rPr>
          <w:color w:val="000000" w:themeColor="text1"/>
        </w:rPr>
      </w:pPr>
      <w:r w:rsidRPr="00F731BA">
        <w:rPr>
          <w:color w:val="000000" w:themeColor="text1"/>
        </w:rPr>
        <w:t xml:space="preserve">being non-reactive (either negatively or positively) if a child expresses a gender non-conforming play or other preference (e.g., putting on </w:t>
      </w:r>
      <w:r w:rsidR="00DF68D2" w:rsidRPr="00F731BA">
        <w:rPr>
          <w:color w:val="000000" w:themeColor="text1"/>
        </w:rPr>
        <w:t>“</w:t>
      </w:r>
      <w:r w:rsidRPr="00F731BA">
        <w:rPr>
          <w:color w:val="000000" w:themeColor="text1"/>
        </w:rPr>
        <w:t>the wrong</w:t>
      </w:r>
      <w:r w:rsidR="00DF68D2" w:rsidRPr="00F731BA">
        <w:rPr>
          <w:color w:val="000000" w:themeColor="text1"/>
        </w:rPr>
        <w:t>”</w:t>
      </w:r>
      <w:r w:rsidRPr="00F731BA">
        <w:rPr>
          <w:color w:val="000000" w:themeColor="text1"/>
        </w:rPr>
        <w:t xml:space="preserve"> costume), and intervening only if other children or staff react </w:t>
      </w:r>
      <w:r w:rsidR="00D83DEA" w:rsidRPr="00F731BA">
        <w:rPr>
          <w:color w:val="000000" w:themeColor="text1"/>
        </w:rPr>
        <w:t>in a discip</w:t>
      </w:r>
      <w:r w:rsidR="00E37B59" w:rsidRPr="00F731BA">
        <w:rPr>
          <w:color w:val="000000" w:themeColor="text1"/>
        </w:rPr>
        <w:t>l</w:t>
      </w:r>
      <w:r w:rsidR="00D83DEA" w:rsidRPr="00F731BA">
        <w:rPr>
          <w:color w:val="000000" w:themeColor="text1"/>
        </w:rPr>
        <w:t>inary fashion</w:t>
      </w:r>
      <w:r w:rsidR="00E37B59" w:rsidRPr="00F731BA">
        <w:rPr>
          <w:color w:val="000000" w:themeColor="text1"/>
        </w:rPr>
        <w:t xml:space="preserve"> </w:t>
      </w:r>
      <w:r w:rsidRPr="00F731BA">
        <w:rPr>
          <w:color w:val="000000" w:themeColor="text1"/>
        </w:rPr>
        <w:t>(in a way that produces th</w:t>
      </w:r>
      <w:r w:rsidR="00E37B59" w:rsidRPr="00F731BA">
        <w:rPr>
          <w:color w:val="000000" w:themeColor="text1"/>
        </w:rPr>
        <w:t>is</w:t>
      </w:r>
      <w:r w:rsidRPr="00F731BA">
        <w:rPr>
          <w:color w:val="000000" w:themeColor="text1"/>
        </w:rPr>
        <w:t xml:space="preserve"> reaction as the problem</w:t>
      </w:r>
      <w:r w:rsidR="00E37B59" w:rsidRPr="00F731BA">
        <w:rPr>
          <w:color w:val="000000" w:themeColor="text1"/>
        </w:rPr>
        <w:t>, not the play itself</w:t>
      </w:r>
      <w:r w:rsidRPr="00F731BA">
        <w:rPr>
          <w:color w:val="000000" w:themeColor="text1"/>
        </w:rPr>
        <w:t>);</w:t>
      </w:r>
    </w:p>
    <w:p w14:paraId="29499EB5" w14:textId="77777777" w:rsidR="000E03BE" w:rsidRPr="00F731BA" w:rsidRDefault="000E03BE" w:rsidP="00B627E0">
      <w:pPr>
        <w:widowControl w:val="0"/>
        <w:numPr>
          <w:ilvl w:val="0"/>
          <w:numId w:val="36"/>
        </w:numPr>
        <w:spacing w:line="240" w:lineRule="auto"/>
        <w:rPr>
          <w:color w:val="000000" w:themeColor="text1"/>
        </w:rPr>
      </w:pPr>
      <w:r w:rsidRPr="00F731BA">
        <w:rPr>
          <w:color w:val="000000" w:themeColor="text1"/>
        </w:rPr>
        <w:t xml:space="preserve">similarly, </w:t>
      </w:r>
      <w:r w:rsidR="005557C1" w:rsidRPr="00F731BA">
        <w:rPr>
          <w:color w:val="000000" w:themeColor="text1"/>
        </w:rPr>
        <w:t>modelling</w:t>
      </w:r>
      <w:r w:rsidRPr="00F731BA">
        <w:rPr>
          <w:color w:val="000000" w:themeColor="text1"/>
        </w:rPr>
        <w:t xml:space="preserve"> a calm and normalizing engagement in gender non-conforming play by doing so yourself (with or without a child’s initiation);</w:t>
      </w:r>
    </w:p>
    <w:p w14:paraId="085A606C" w14:textId="0B957B87" w:rsidR="000E03BE" w:rsidRPr="00F731BA" w:rsidRDefault="000E03BE" w:rsidP="00B627E0">
      <w:pPr>
        <w:widowControl w:val="0"/>
        <w:numPr>
          <w:ilvl w:val="0"/>
          <w:numId w:val="32"/>
        </w:numPr>
        <w:spacing w:line="240" w:lineRule="auto"/>
        <w:rPr>
          <w:color w:val="000000" w:themeColor="text1"/>
        </w:rPr>
      </w:pPr>
      <w:r w:rsidRPr="00F731BA">
        <w:rPr>
          <w:color w:val="000000" w:themeColor="text1"/>
        </w:rPr>
        <w:t xml:space="preserve">and responding to children’s gender norm enforcement with gentle scepticism (e.g., </w:t>
      </w:r>
      <w:r w:rsidR="00DF68D2" w:rsidRPr="00F731BA">
        <w:rPr>
          <w:color w:val="000000" w:themeColor="text1"/>
        </w:rPr>
        <w:t>“</w:t>
      </w:r>
      <w:r w:rsidRPr="00F731BA">
        <w:rPr>
          <w:color w:val="000000" w:themeColor="text1"/>
        </w:rPr>
        <w:t>why can’t she play this game with you [boys]? That does not make sense to me</w:t>
      </w:r>
      <w:r w:rsidR="00DF68D2" w:rsidRPr="00F731BA">
        <w:rPr>
          <w:color w:val="000000" w:themeColor="text1"/>
        </w:rPr>
        <w:t>”</w:t>
      </w:r>
      <w:r w:rsidRPr="00F731BA">
        <w:rPr>
          <w:color w:val="000000" w:themeColor="text1"/>
        </w:rPr>
        <w:t>).</w:t>
      </w:r>
      <w:r w:rsidRPr="00F731BA">
        <w:rPr>
          <w:color w:val="000000" w:themeColor="text1"/>
        </w:rPr>
        <w:br/>
      </w:r>
    </w:p>
    <w:p w14:paraId="7D9F1F97" w14:textId="1186DE64" w:rsidR="00795903" w:rsidRPr="00F731BA" w:rsidRDefault="004207F0" w:rsidP="0001663F">
      <w:pPr>
        <w:widowControl w:val="0"/>
        <w:spacing w:line="240" w:lineRule="auto"/>
        <w:ind w:firstLine="720"/>
        <w:rPr>
          <w:color w:val="000000" w:themeColor="text1"/>
        </w:rPr>
      </w:pPr>
      <w:r w:rsidRPr="00F731BA">
        <w:rPr>
          <w:color w:val="000000" w:themeColor="text1"/>
        </w:rPr>
        <w:t>Lastly</w:t>
      </w:r>
      <w:r w:rsidR="000E03BE" w:rsidRPr="00F731BA">
        <w:rPr>
          <w:color w:val="000000" w:themeColor="text1"/>
        </w:rPr>
        <w:t xml:space="preserve">, </w:t>
      </w:r>
      <w:r w:rsidR="006B474F" w:rsidRPr="00F731BA">
        <w:rPr>
          <w:color w:val="000000" w:themeColor="text1"/>
        </w:rPr>
        <w:t>our research</w:t>
      </w:r>
      <w:r w:rsidR="000E03BE" w:rsidRPr="00F731BA">
        <w:rPr>
          <w:color w:val="000000" w:themeColor="text1"/>
        </w:rPr>
        <w:t xml:space="preserve"> encourage</w:t>
      </w:r>
      <w:r w:rsidR="006B474F" w:rsidRPr="00F731BA">
        <w:rPr>
          <w:color w:val="000000" w:themeColor="text1"/>
        </w:rPr>
        <w:t>s</w:t>
      </w:r>
      <w:r w:rsidR="000E03BE" w:rsidRPr="00F731BA">
        <w:rPr>
          <w:color w:val="000000" w:themeColor="text1"/>
        </w:rPr>
        <w:t xml:space="preserve"> ECEs to recognize gender-creativity as a form of deep creativity</w:t>
      </w:r>
      <w:r w:rsidRPr="00F731BA">
        <w:rPr>
          <w:color w:val="000000" w:themeColor="text1"/>
        </w:rPr>
        <w:t xml:space="preserve">, </w:t>
      </w:r>
      <w:r w:rsidR="000E03BE" w:rsidRPr="00F731BA">
        <w:rPr>
          <w:color w:val="000000" w:themeColor="text1"/>
        </w:rPr>
        <w:t xml:space="preserve">as </w:t>
      </w:r>
      <w:r w:rsidR="001A69AF" w:rsidRPr="00F731BA">
        <w:rPr>
          <w:color w:val="000000" w:themeColor="text1"/>
        </w:rPr>
        <w:t>“</w:t>
      </w:r>
      <w:r w:rsidR="000E03BE" w:rsidRPr="00F731BA">
        <w:rPr>
          <w:color w:val="000000" w:themeColor="text1"/>
        </w:rPr>
        <w:t>[a] child’s ability for joint planning and assigning roles during pretend play with other children is related to the child’s level of theory of mind or ability to understand that others have beliefs, desires and intentions that are different from one’s own</w:t>
      </w:r>
      <w:r w:rsidR="001A69AF" w:rsidRPr="00F731BA">
        <w:rPr>
          <w:color w:val="000000" w:themeColor="text1"/>
        </w:rPr>
        <w:t>”</w:t>
      </w:r>
      <w:r w:rsidR="000E03BE" w:rsidRPr="00F731BA">
        <w:rPr>
          <w:color w:val="000000" w:themeColor="text1"/>
        </w:rPr>
        <w:t xml:space="preserve"> (</w:t>
      </w:r>
      <w:r w:rsidR="00F34702" w:rsidRPr="00F731BA">
        <w:rPr>
          <w:color w:val="000000" w:themeColor="text1"/>
        </w:rPr>
        <w:t>BSEP,</w:t>
      </w:r>
      <w:r w:rsidR="00DF68D2" w:rsidRPr="00F731BA">
        <w:rPr>
          <w:color w:val="000000" w:themeColor="text1"/>
        </w:rPr>
        <w:t xml:space="preserve"> 2007</w:t>
      </w:r>
      <w:r w:rsidR="00E041B1" w:rsidRPr="00F731BA">
        <w:rPr>
          <w:color w:val="000000" w:themeColor="text1"/>
        </w:rPr>
        <w:t>:</w:t>
      </w:r>
      <w:r w:rsidR="000E03BE" w:rsidRPr="00F731BA">
        <w:rPr>
          <w:color w:val="000000" w:themeColor="text1"/>
        </w:rPr>
        <w:t xml:space="preserve"> </w:t>
      </w:r>
      <w:r w:rsidR="001A69AF" w:rsidRPr="00F731BA">
        <w:rPr>
          <w:color w:val="000000" w:themeColor="text1"/>
        </w:rPr>
        <w:t xml:space="preserve">p. </w:t>
      </w:r>
      <w:r w:rsidR="000E03BE" w:rsidRPr="00F731BA">
        <w:rPr>
          <w:color w:val="000000" w:themeColor="text1"/>
        </w:rPr>
        <w:t>16). A gender-expansive mindset would enable an ECE to recognize and greatly value a child’s creativity if they can deviate from stereotypical gender expectations during play, or seamlessly integrate another child’s gender non-conforming play into their own.</w:t>
      </w:r>
    </w:p>
    <w:p w14:paraId="285BBD0A" w14:textId="77777777" w:rsidR="006012B0" w:rsidRPr="00F731BA" w:rsidRDefault="006012B0" w:rsidP="00B627E0">
      <w:pPr>
        <w:widowControl w:val="0"/>
        <w:spacing w:line="240" w:lineRule="auto"/>
        <w:ind w:firstLine="720"/>
        <w:rPr>
          <w:color w:val="000000" w:themeColor="text1"/>
          <w:lang w:val="en-US"/>
        </w:rPr>
      </w:pPr>
    </w:p>
    <w:p w14:paraId="24CB6004" w14:textId="5CB7FF46" w:rsidR="000E03BE" w:rsidRPr="00F731BA" w:rsidRDefault="000E03BE" w:rsidP="00787859">
      <w:pPr>
        <w:widowControl w:val="0"/>
        <w:spacing w:line="240" w:lineRule="auto"/>
        <w:jc w:val="center"/>
        <w:rPr>
          <w:b/>
          <w:color w:val="000000" w:themeColor="text1"/>
          <w:highlight w:val="white"/>
        </w:rPr>
      </w:pPr>
      <w:r w:rsidRPr="00F731BA">
        <w:rPr>
          <w:b/>
          <w:color w:val="000000" w:themeColor="text1"/>
          <w:highlight w:val="white"/>
        </w:rPr>
        <w:t>Conclusion</w:t>
      </w:r>
    </w:p>
    <w:p w14:paraId="292F4BCD" w14:textId="54D186AC" w:rsidR="000E03BE" w:rsidRPr="00F731BA" w:rsidRDefault="000E03BE" w:rsidP="00B627E0">
      <w:pPr>
        <w:widowControl w:val="0"/>
        <w:spacing w:line="240" w:lineRule="auto"/>
        <w:rPr>
          <w:color w:val="000000" w:themeColor="text1"/>
        </w:rPr>
      </w:pPr>
      <w:r w:rsidRPr="00F731BA">
        <w:rPr>
          <w:color w:val="000000" w:themeColor="text1"/>
        </w:rPr>
        <w:t xml:space="preserve">        </w:t>
      </w:r>
      <w:r w:rsidRPr="00F731BA">
        <w:rPr>
          <w:color w:val="000000" w:themeColor="text1"/>
        </w:rPr>
        <w:tab/>
        <w:t xml:space="preserve">In this article </w:t>
      </w:r>
      <w:r w:rsidR="006B474F" w:rsidRPr="00F731BA">
        <w:rPr>
          <w:color w:val="000000" w:themeColor="text1"/>
        </w:rPr>
        <w:t>the researchers</w:t>
      </w:r>
      <w:r w:rsidRPr="00F731BA">
        <w:rPr>
          <w:color w:val="000000" w:themeColor="text1"/>
        </w:rPr>
        <w:t xml:space="preserve"> bridge</w:t>
      </w:r>
      <w:r w:rsidR="00635248" w:rsidRPr="00F731BA">
        <w:rPr>
          <w:color w:val="000000" w:themeColor="text1"/>
        </w:rPr>
        <w:t>d</w:t>
      </w:r>
      <w:r w:rsidRPr="00F731BA">
        <w:rPr>
          <w:color w:val="000000" w:themeColor="text1"/>
        </w:rPr>
        <w:t xml:space="preserve"> </w:t>
      </w:r>
      <w:r w:rsidR="00635248" w:rsidRPr="00F731BA">
        <w:rPr>
          <w:color w:val="000000" w:themeColor="text1"/>
        </w:rPr>
        <w:t>ECEs’</w:t>
      </w:r>
      <w:r w:rsidRPr="00F731BA">
        <w:rPr>
          <w:color w:val="000000" w:themeColor="text1"/>
        </w:rPr>
        <w:t xml:space="preserve"> legal responsibilities in relation to gender identity and gender expression, and the more familiar domain of </w:t>
      </w:r>
      <w:r w:rsidR="00B036F6" w:rsidRPr="00F731BA">
        <w:rPr>
          <w:color w:val="000000" w:themeColor="text1"/>
        </w:rPr>
        <w:t xml:space="preserve">the </w:t>
      </w:r>
      <w:r w:rsidRPr="00F731BA">
        <w:rPr>
          <w:color w:val="000000" w:themeColor="text1"/>
        </w:rPr>
        <w:t xml:space="preserve">early years classroom. </w:t>
      </w:r>
      <w:r w:rsidR="006B474F" w:rsidRPr="00F731BA">
        <w:rPr>
          <w:color w:val="000000" w:themeColor="text1"/>
        </w:rPr>
        <w:t>This research</w:t>
      </w:r>
      <w:r w:rsidRPr="00F731BA">
        <w:rPr>
          <w:color w:val="000000" w:themeColor="text1"/>
        </w:rPr>
        <w:t xml:space="preserve"> </w:t>
      </w:r>
      <w:r w:rsidR="00B036F6" w:rsidRPr="00F731BA">
        <w:rPr>
          <w:color w:val="000000" w:themeColor="text1"/>
        </w:rPr>
        <w:t>argue</w:t>
      </w:r>
      <w:r w:rsidR="00635248" w:rsidRPr="00F731BA">
        <w:rPr>
          <w:color w:val="000000" w:themeColor="text1"/>
        </w:rPr>
        <w:t>s</w:t>
      </w:r>
      <w:r w:rsidR="00B036F6" w:rsidRPr="00F731BA">
        <w:rPr>
          <w:color w:val="000000" w:themeColor="text1"/>
        </w:rPr>
        <w:t xml:space="preserve"> </w:t>
      </w:r>
      <w:r w:rsidRPr="00F731BA">
        <w:rPr>
          <w:color w:val="000000" w:themeColor="text1"/>
        </w:rPr>
        <w:t xml:space="preserve">that considerable support exists within Ontario’s key guiding documents for gender-expansive practices in the early years. Furthermore, Canadian </w:t>
      </w:r>
      <w:r w:rsidR="00635248" w:rsidRPr="00F731BA">
        <w:rPr>
          <w:color w:val="000000" w:themeColor="text1"/>
        </w:rPr>
        <w:t>ECEs’</w:t>
      </w:r>
      <w:r w:rsidRPr="00F731BA">
        <w:rPr>
          <w:color w:val="000000" w:themeColor="text1"/>
        </w:rPr>
        <w:t xml:space="preserve"> legal responsibilities in relation to gender diversity seamlessly reflect a commitment to fostering each child’s gender health</w:t>
      </w:r>
      <w:r w:rsidR="00B036F6" w:rsidRPr="00F731BA">
        <w:rPr>
          <w:color w:val="000000" w:themeColor="text1"/>
        </w:rPr>
        <w:t>, including</w:t>
      </w:r>
      <w:r w:rsidRPr="00F731BA">
        <w:rPr>
          <w:color w:val="000000" w:themeColor="text1"/>
        </w:rPr>
        <w:t xml:space="preserve"> through gender-expansive practice. Despite focusing on early years documents in Ontario, </w:t>
      </w:r>
      <w:r w:rsidR="0063117E" w:rsidRPr="00F731BA">
        <w:rPr>
          <w:color w:val="000000" w:themeColor="text1"/>
        </w:rPr>
        <w:t>this article’s</w:t>
      </w:r>
      <w:r w:rsidR="00635248" w:rsidRPr="00F731BA">
        <w:rPr>
          <w:color w:val="000000" w:themeColor="text1"/>
        </w:rPr>
        <w:t xml:space="preserve"> </w:t>
      </w:r>
      <w:r w:rsidRPr="00F731BA">
        <w:rPr>
          <w:color w:val="000000" w:themeColor="text1"/>
        </w:rPr>
        <w:t>conceptual framework and suggestions for gender-expansive practice can be applied more broadly given a striking similarity in how the protected grounds of gender identity and gender expression are defined across Canada</w:t>
      </w:r>
      <w:r w:rsidR="00271552" w:rsidRPr="00F731BA">
        <w:rPr>
          <w:color w:val="000000" w:themeColor="text1"/>
        </w:rPr>
        <w:t xml:space="preserve"> and internationally</w:t>
      </w:r>
      <w:r w:rsidRPr="00F731BA">
        <w:rPr>
          <w:color w:val="000000" w:themeColor="text1"/>
        </w:rPr>
        <w:t xml:space="preserve"> (see Kirkup</w:t>
      </w:r>
      <w:r w:rsidR="006B474F" w:rsidRPr="00F731BA">
        <w:rPr>
          <w:color w:val="000000" w:themeColor="text1"/>
        </w:rPr>
        <w:t>,</w:t>
      </w:r>
      <w:r w:rsidRPr="00F731BA">
        <w:rPr>
          <w:color w:val="000000" w:themeColor="text1"/>
        </w:rPr>
        <w:t xml:space="preserve"> 2018). </w:t>
      </w:r>
    </w:p>
    <w:p w14:paraId="167BC2DA" w14:textId="3B642DC2" w:rsidR="000E03BE" w:rsidRPr="00F731BA" w:rsidRDefault="000E03BE" w:rsidP="00B627E0">
      <w:pPr>
        <w:widowControl w:val="0"/>
        <w:spacing w:line="240" w:lineRule="auto"/>
        <w:rPr>
          <w:color w:val="000000" w:themeColor="text1"/>
        </w:rPr>
      </w:pPr>
      <w:r w:rsidRPr="00F731BA">
        <w:rPr>
          <w:color w:val="000000" w:themeColor="text1"/>
        </w:rPr>
        <w:t xml:space="preserve"> </w:t>
      </w:r>
      <w:r w:rsidRPr="00F731BA">
        <w:rPr>
          <w:color w:val="000000" w:themeColor="text1"/>
        </w:rPr>
        <w:tab/>
        <w:t xml:space="preserve">In summary, </w:t>
      </w:r>
      <w:r w:rsidR="006B474F" w:rsidRPr="00F731BA">
        <w:rPr>
          <w:color w:val="000000" w:themeColor="text1"/>
        </w:rPr>
        <w:t>findings</w:t>
      </w:r>
      <w:r w:rsidRPr="00F731BA">
        <w:rPr>
          <w:color w:val="000000" w:themeColor="text1"/>
        </w:rPr>
        <w:t xml:space="preserve"> demonstrate</w:t>
      </w:r>
      <w:r w:rsidR="006B474F" w:rsidRPr="00F731BA">
        <w:rPr>
          <w:color w:val="000000" w:themeColor="text1"/>
        </w:rPr>
        <w:t xml:space="preserve"> </w:t>
      </w:r>
      <w:r w:rsidRPr="00F731BA">
        <w:rPr>
          <w:color w:val="000000" w:themeColor="text1"/>
        </w:rPr>
        <w:t xml:space="preserve">that support exists within the profession’s key </w:t>
      </w:r>
      <w:r w:rsidRPr="00F731BA">
        <w:rPr>
          <w:color w:val="000000" w:themeColor="text1"/>
        </w:rPr>
        <w:lastRenderedPageBreak/>
        <w:t xml:space="preserve">guiding documents for a gender-expansive early years </w:t>
      </w:r>
      <w:r w:rsidR="005005C2" w:rsidRPr="00F731BA">
        <w:rPr>
          <w:color w:val="000000" w:themeColor="text1"/>
        </w:rPr>
        <w:t>practice.</w:t>
      </w:r>
      <w:r w:rsidRPr="00F731BA">
        <w:rPr>
          <w:color w:val="000000" w:themeColor="text1"/>
        </w:rPr>
        <w:t xml:space="preserve"> </w:t>
      </w:r>
      <w:r w:rsidR="005005C2" w:rsidRPr="00F731BA">
        <w:rPr>
          <w:color w:val="000000" w:themeColor="text1"/>
        </w:rPr>
        <w:t xml:space="preserve">The findings of our </w:t>
      </w:r>
      <w:r w:rsidRPr="00F731BA">
        <w:rPr>
          <w:color w:val="000000" w:themeColor="text1"/>
        </w:rPr>
        <w:t>gender-expansive</w:t>
      </w:r>
      <w:r w:rsidR="005005C2" w:rsidRPr="00F731BA">
        <w:rPr>
          <w:color w:val="000000" w:themeColor="text1"/>
        </w:rPr>
        <w:t xml:space="preserve"> analysis are summarized</w:t>
      </w:r>
      <w:r w:rsidRPr="00F731BA">
        <w:rPr>
          <w:color w:val="000000" w:themeColor="text1"/>
        </w:rPr>
        <w:t xml:space="preserve"> in</w:t>
      </w:r>
      <w:r w:rsidR="005005C2" w:rsidRPr="00F731BA">
        <w:rPr>
          <w:color w:val="000000" w:themeColor="text1"/>
        </w:rPr>
        <w:t xml:space="preserve"> the following</w:t>
      </w:r>
      <w:r w:rsidRPr="00F731BA">
        <w:rPr>
          <w:color w:val="000000" w:themeColor="text1"/>
        </w:rPr>
        <w:t xml:space="preserve"> five overarching suggestions for professional practice:</w:t>
      </w:r>
    </w:p>
    <w:p w14:paraId="24EEF4B2" w14:textId="77777777" w:rsidR="000E03BE" w:rsidRPr="00F731BA" w:rsidRDefault="000E03BE" w:rsidP="00B627E0">
      <w:pPr>
        <w:widowControl w:val="0"/>
        <w:numPr>
          <w:ilvl w:val="0"/>
          <w:numId w:val="31"/>
        </w:numPr>
        <w:spacing w:line="240" w:lineRule="auto"/>
        <w:rPr>
          <w:color w:val="000000" w:themeColor="text1"/>
        </w:rPr>
      </w:pPr>
      <w:r w:rsidRPr="00F731BA">
        <w:rPr>
          <w:color w:val="000000" w:themeColor="text1"/>
        </w:rPr>
        <w:t>provide accurate information (e.g., that behaviour etc. that does not align with expectations based on a child’s sex assignment is normal, not pathological);</w:t>
      </w:r>
    </w:p>
    <w:p w14:paraId="7E2E1FC9" w14:textId="7DD76C2C" w:rsidR="000E03BE" w:rsidRPr="00F731BA" w:rsidRDefault="001A69AF" w:rsidP="00B627E0">
      <w:pPr>
        <w:widowControl w:val="0"/>
        <w:numPr>
          <w:ilvl w:val="0"/>
          <w:numId w:val="31"/>
        </w:numPr>
        <w:spacing w:line="240" w:lineRule="auto"/>
        <w:rPr>
          <w:color w:val="000000" w:themeColor="text1"/>
        </w:rPr>
      </w:pPr>
      <w:r w:rsidRPr="00F731BA">
        <w:rPr>
          <w:color w:val="000000" w:themeColor="text1"/>
        </w:rPr>
        <w:t>“</w:t>
      </w:r>
      <w:r w:rsidR="000E03BE" w:rsidRPr="00F731BA">
        <w:rPr>
          <w:color w:val="000000" w:themeColor="text1"/>
        </w:rPr>
        <w:t>go with it</w:t>
      </w:r>
      <w:r w:rsidRPr="00F731BA">
        <w:rPr>
          <w:color w:val="000000" w:themeColor="text1"/>
        </w:rPr>
        <w:t>”</w:t>
      </w:r>
      <w:r w:rsidR="000E03BE" w:rsidRPr="00F731BA">
        <w:rPr>
          <w:color w:val="000000" w:themeColor="text1"/>
        </w:rPr>
        <w:t xml:space="preserve"> (e.g., if a child engages in gender non-conforming play, do not intervene or overreact, whether positively or negatively);</w:t>
      </w:r>
    </w:p>
    <w:p w14:paraId="4A865B07" w14:textId="5E66D377" w:rsidR="000E03BE" w:rsidRPr="00F731BA" w:rsidRDefault="000E03BE" w:rsidP="00B627E0">
      <w:pPr>
        <w:widowControl w:val="0"/>
        <w:numPr>
          <w:ilvl w:val="0"/>
          <w:numId w:val="31"/>
        </w:numPr>
        <w:spacing w:line="240" w:lineRule="auto"/>
        <w:rPr>
          <w:color w:val="000000" w:themeColor="text1"/>
        </w:rPr>
      </w:pPr>
      <w:r w:rsidRPr="00F731BA">
        <w:rPr>
          <w:color w:val="000000" w:themeColor="text1"/>
        </w:rPr>
        <w:t>affirm children’s gender identities and gender expressions</w:t>
      </w:r>
      <w:r w:rsidR="00692C02" w:rsidRPr="00F731BA">
        <w:rPr>
          <w:color w:val="000000" w:themeColor="text1"/>
        </w:rPr>
        <w:t>, as this</w:t>
      </w:r>
      <w:r w:rsidRPr="00F731BA">
        <w:rPr>
          <w:color w:val="000000" w:themeColor="text1"/>
        </w:rPr>
        <w:t xml:space="preserve"> teaches children that they are the authority on who they are</w:t>
      </w:r>
      <w:r w:rsidR="00692C02" w:rsidRPr="00F731BA">
        <w:rPr>
          <w:color w:val="000000" w:themeColor="text1"/>
        </w:rPr>
        <w:t>;</w:t>
      </w:r>
    </w:p>
    <w:p w14:paraId="1F5F02DF" w14:textId="404ACD52" w:rsidR="000E03BE" w:rsidRPr="00F731BA" w:rsidRDefault="000E03BE" w:rsidP="00B627E0">
      <w:pPr>
        <w:widowControl w:val="0"/>
        <w:numPr>
          <w:ilvl w:val="0"/>
          <w:numId w:val="31"/>
        </w:numPr>
        <w:spacing w:line="240" w:lineRule="auto"/>
        <w:rPr>
          <w:color w:val="000000" w:themeColor="text1"/>
        </w:rPr>
      </w:pPr>
      <w:r w:rsidRPr="00F731BA">
        <w:rPr>
          <w:color w:val="000000" w:themeColor="text1"/>
        </w:rPr>
        <w:t xml:space="preserve">find teachable moments (e.g., question children’s automatic gendering of others); </w:t>
      </w:r>
      <w:r w:rsidR="006E0AF2" w:rsidRPr="00F731BA">
        <w:rPr>
          <w:color w:val="000000" w:themeColor="text1"/>
        </w:rPr>
        <w:t>and</w:t>
      </w:r>
    </w:p>
    <w:p w14:paraId="1AFDEAFF" w14:textId="13BA0A9A" w:rsidR="000E03BE" w:rsidRPr="00F731BA" w:rsidRDefault="000E03BE" w:rsidP="00B627E0">
      <w:pPr>
        <w:widowControl w:val="0"/>
        <w:numPr>
          <w:ilvl w:val="0"/>
          <w:numId w:val="31"/>
        </w:numPr>
        <w:spacing w:line="240" w:lineRule="auto"/>
        <w:rPr>
          <w:color w:val="000000" w:themeColor="text1"/>
        </w:rPr>
      </w:pPr>
      <w:r w:rsidRPr="00F731BA">
        <w:rPr>
          <w:color w:val="000000" w:themeColor="text1"/>
        </w:rPr>
        <w:t>examine materials through a gender-expansive lens (e.g., create and use materials that offer a variety of gender representations).</w:t>
      </w:r>
    </w:p>
    <w:p w14:paraId="1A2D0524" w14:textId="632C2EBB" w:rsidR="000E03BE" w:rsidRPr="00F731BA" w:rsidRDefault="000E03BE" w:rsidP="00B627E0">
      <w:pPr>
        <w:widowControl w:val="0"/>
        <w:spacing w:line="240" w:lineRule="auto"/>
        <w:rPr>
          <w:color w:val="000000" w:themeColor="text1"/>
        </w:rPr>
      </w:pPr>
    </w:p>
    <w:p w14:paraId="4708FC27" w14:textId="62D74E05" w:rsidR="0063117E" w:rsidRPr="00F731BA" w:rsidRDefault="0063117E" w:rsidP="0063117E">
      <w:pPr>
        <w:widowControl w:val="0"/>
        <w:spacing w:line="240" w:lineRule="auto"/>
        <w:ind w:firstLine="720"/>
        <w:rPr>
          <w:color w:val="000000" w:themeColor="text1"/>
        </w:rPr>
      </w:pPr>
      <w:r w:rsidRPr="00F731BA">
        <w:rPr>
          <w:color w:val="000000" w:themeColor="text1"/>
        </w:rPr>
        <w:t>Given that this article’s conceptual framework for gender-expansive early years practice differentiates between interpersonal and institutional discrimination, we close by noting an irony that characterizes our suggestions: they are largely interpersonal, or, things that we are asking individual ECEs to do in the course of their daily work. This bears directly on the working conditions of ECEs, and as such it is worth acknowledging that ECEs are rarely provided with paid time to plan or access resources that would allow them to integrate gender-expansive practices (i.e., having the time to locate and integrate books with transgender and/or gender non-conforming characters). These challenges are exacerbated by the additional strained practical environments that ECEs work in which include the high number of children in their care and minimal breaks. These structural issues serve to undermine the abilities of ECEs to uphold their professional obligations in all areas of their practice. As such, we want to stress the need for broader structural changes that would allow the time and space for ECEs to enhance and make changes in to practice. Indeed, seemingly unrelated systemic changes and issues raised in ECE collective bargaining bear directly on the capacity of early years centres to offer an environment that welcomes gender diversity.</w:t>
      </w:r>
      <w:r w:rsidR="005701AE" w:rsidRPr="00F731BA">
        <w:rPr>
          <w:color w:val="000000" w:themeColor="text1"/>
        </w:rPr>
        <w:t xml:space="preserve"> The welcome offered to transgender and/or gender non-conforming children and their families in the early years centre will be strengthened to the extent that ECE working conditions are improved.</w:t>
      </w:r>
    </w:p>
    <w:p w14:paraId="4C2AFB03" w14:textId="72F7266B" w:rsidR="000E03BE" w:rsidRPr="00F731BA" w:rsidRDefault="000E03BE" w:rsidP="00B627E0">
      <w:pPr>
        <w:widowControl w:val="0"/>
        <w:spacing w:line="240" w:lineRule="auto"/>
        <w:ind w:firstLine="708"/>
        <w:rPr>
          <w:color w:val="000000" w:themeColor="text1"/>
        </w:rPr>
      </w:pPr>
      <w:r w:rsidRPr="00F731BA">
        <w:rPr>
          <w:color w:val="000000" w:themeColor="text1"/>
        </w:rPr>
        <w:t>Overall, gender-expansive practices materially manifest ECEs’ legal dut</w:t>
      </w:r>
      <w:r w:rsidR="003137D1" w:rsidRPr="00F731BA">
        <w:rPr>
          <w:color w:val="000000" w:themeColor="text1"/>
        </w:rPr>
        <w:t>y</w:t>
      </w:r>
      <w:r w:rsidRPr="00F731BA">
        <w:rPr>
          <w:color w:val="000000" w:themeColor="text1"/>
        </w:rPr>
        <w:t xml:space="preserve"> to develop a centre community that validates </w:t>
      </w:r>
      <w:r w:rsidRPr="00F731BA">
        <w:rPr>
          <w:i/>
          <w:color w:val="000000" w:themeColor="text1"/>
        </w:rPr>
        <w:t>all</w:t>
      </w:r>
      <w:r w:rsidRPr="00F731BA">
        <w:rPr>
          <w:color w:val="000000" w:themeColor="text1"/>
        </w:rPr>
        <w:t xml:space="preserve"> children’s </w:t>
      </w:r>
      <w:r w:rsidR="003137D1" w:rsidRPr="00F731BA">
        <w:rPr>
          <w:color w:val="000000" w:themeColor="text1"/>
        </w:rPr>
        <w:t>ways of living gender</w:t>
      </w:r>
      <w:r w:rsidRPr="00F731BA">
        <w:rPr>
          <w:color w:val="000000" w:themeColor="text1"/>
        </w:rPr>
        <w:t xml:space="preserve">. We hope that </w:t>
      </w:r>
      <w:r w:rsidR="00635248" w:rsidRPr="00F731BA">
        <w:rPr>
          <w:color w:val="000000" w:themeColor="text1"/>
        </w:rPr>
        <w:t>this</w:t>
      </w:r>
      <w:r w:rsidRPr="00F731BA">
        <w:rPr>
          <w:color w:val="000000" w:themeColor="text1"/>
        </w:rPr>
        <w:t xml:space="preserve"> </w:t>
      </w:r>
      <w:r w:rsidR="009E3713" w:rsidRPr="00F731BA">
        <w:rPr>
          <w:color w:val="000000" w:themeColor="text1"/>
        </w:rPr>
        <w:t>research</w:t>
      </w:r>
      <w:r w:rsidRPr="00F731BA">
        <w:rPr>
          <w:color w:val="000000" w:themeColor="text1"/>
        </w:rPr>
        <w:t xml:space="preserve"> has provided a starting place for our colleagues in the early years field.</w:t>
      </w:r>
    </w:p>
    <w:p w14:paraId="1257E5B2" w14:textId="1FE40DC8" w:rsidR="0053297A" w:rsidRPr="00F731BA" w:rsidRDefault="0053297A" w:rsidP="000E03BE">
      <w:pPr>
        <w:rPr>
          <w:rFonts w:ascii="Calibri" w:hAnsi="Calibri" w:cs="Calibri"/>
          <w:color w:val="000000" w:themeColor="text1"/>
        </w:rPr>
      </w:pPr>
    </w:p>
    <w:p w14:paraId="0AF166DC" w14:textId="3599450F" w:rsidR="009E3713" w:rsidRPr="00F731BA" w:rsidRDefault="009E3713" w:rsidP="000E03BE">
      <w:pPr>
        <w:rPr>
          <w:rFonts w:ascii="Calibri" w:hAnsi="Calibri" w:cs="Calibri"/>
          <w:color w:val="000000" w:themeColor="text1"/>
        </w:rPr>
      </w:pPr>
    </w:p>
    <w:p w14:paraId="53FB2EC8" w14:textId="663EA2CB" w:rsidR="00273BD9" w:rsidRPr="00F731BA" w:rsidRDefault="00273BD9" w:rsidP="000E03BE">
      <w:pPr>
        <w:rPr>
          <w:rFonts w:ascii="Calibri" w:hAnsi="Calibri" w:cs="Calibri"/>
          <w:color w:val="000000" w:themeColor="text1"/>
        </w:rPr>
      </w:pPr>
    </w:p>
    <w:p w14:paraId="0BF8346B" w14:textId="4BFFAB36" w:rsidR="00273BD9" w:rsidRPr="00F731BA" w:rsidRDefault="00273BD9" w:rsidP="000E03BE">
      <w:pPr>
        <w:rPr>
          <w:rFonts w:ascii="Calibri" w:hAnsi="Calibri" w:cs="Calibri"/>
          <w:color w:val="000000" w:themeColor="text1"/>
        </w:rPr>
      </w:pPr>
    </w:p>
    <w:p w14:paraId="2A581541" w14:textId="103421E7" w:rsidR="00273BD9" w:rsidRPr="00F731BA" w:rsidRDefault="00273BD9" w:rsidP="000E03BE">
      <w:pPr>
        <w:rPr>
          <w:rFonts w:ascii="Calibri" w:hAnsi="Calibri" w:cs="Calibri"/>
          <w:color w:val="000000" w:themeColor="text1"/>
        </w:rPr>
      </w:pPr>
    </w:p>
    <w:p w14:paraId="3B0552BD" w14:textId="564402DC" w:rsidR="00273BD9" w:rsidRPr="00F731BA" w:rsidRDefault="00273BD9" w:rsidP="000E03BE">
      <w:pPr>
        <w:rPr>
          <w:rFonts w:ascii="Calibri" w:hAnsi="Calibri" w:cs="Calibri"/>
          <w:color w:val="000000" w:themeColor="text1"/>
        </w:rPr>
      </w:pPr>
    </w:p>
    <w:p w14:paraId="437E38AF" w14:textId="3F18C3D1" w:rsidR="00E7649A" w:rsidRPr="00F731BA" w:rsidRDefault="00E7649A" w:rsidP="000E03BE">
      <w:pPr>
        <w:rPr>
          <w:rFonts w:ascii="Calibri" w:hAnsi="Calibri" w:cs="Calibri"/>
          <w:color w:val="000000" w:themeColor="text1"/>
        </w:rPr>
      </w:pPr>
    </w:p>
    <w:p w14:paraId="341CF43B" w14:textId="77777777" w:rsidR="006A78F3" w:rsidRPr="00F731BA" w:rsidRDefault="006A78F3" w:rsidP="000E03BE">
      <w:pPr>
        <w:rPr>
          <w:rFonts w:ascii="Calibri" w:hAnsi="Calibri" w:cs="Calibri"/>
          <w:color w:val="000000" w:themeColor="text1"/>
        </w:rPr>
      </w:pPr>
    </w:p>
    <w:p w14:paraId="77F595B4" w14:textId="77777777" w:rsidR="000E03BE" w:rsidRPr="00F731BA" w:rsidRDefault="000E03BE" w:rsidP="001C6AF8">
      <w:pPr>
        <w:widowControl w:val="0"/>
        <w:spacing w:line="240" w:lineRule="auto"/>
        <w:jc w:val="center"/>
        <w:rPr>
          <w:b/>
          <w:color w:val="000000" w:themeColor="text1"/>
        </w:rPr>
      </w:pPr>
      <w:r w:rsidRPr="00F731BA">
        <w:rPr>
          <w:b/>
          <w:color w:val="000000" w:themeColor="text1"/>
        </w:rPr>
        <w:lastRenderedPageBreak/>
        <w:t>References</w:t>
      </w:r>
    </w:p>
    <w:p w14:paraId="237D1A85" w14:textId="6BE116ED" w:rsidR="000E03BE" w:rsidRPr="00F731BA" w:rsidRDefault="000E03BE" w:rsidP="001C6AF8">
      <w:pPr>
        <w:spacing w:line="240" w:lineRule="auto"/>
        <w:ind w:left="708" w:hanging="708"/>
        <w:rPr>
          <w:color w:val="000000" w:themeColor="text1"/>
          <w:highlight w:val="white"/>
        </w:rPr>
      </w:pPr>
      <w:r w:rsidRPr="00F731BA">
        <w:rPr>
          <w:color w:val="000000" w:themeColor="text1"/>
          <w:highlight w:val="white"/>
        </w:rPr>
        <w:t xml:space="preserve">Airton L </w:t>
      </w:r>
      <w:r w:rsidR="004841CD" w:rsidRPr="00F731BA">
        <w:rPr>
          <w:color w:val="000000" w:themeColor="text1"/>
          <w:highlight w:val="white"/>
        </w:rPr>
        <w:t>(</w:t>
      </w:r>
      <w:r w:rsidRPr="00F731BA">
        <w:rPr>
          <w:color w:val="000000" w:themeColor="text1"/>
          <w:highlight w:val="white"/>
        </w:rPr>
        <w:t>2009</w:t>
      </w:r>
      <w:r w:rsidR="004841CD" w:rsidRPr="00F731BA">
        <w:rPr>
          <w:color w:val="000000" w:themeColor="text1"/>
          <w:highlight w:val="white"/>
        </w:rPr>
        <w:t>)</w:t>
      </w:r>
      <w:r w:rsidRPr="00F731BA">
        <w:rPr>
          <w:color w:val="000000" w:themeColor="text1"/>
          <w:highlight w:val="white"/>
        </w:rPr>
        <w:t xml:space="preserve"> From sexuality (gender) to gender (sexuality): The aims of anti-homophobia education.</w:t>
      </w:r>
      <w:r w:rsidRPr="00F731BA">
        <w:rPr>
          <w:i/>
          <w:color w:val="000000" w:themeColor="text1"/>
          <w:highlight w:val="white"/>
        </w:rPr>
        <w:t xml:space="preserve"> Sex Education </w:t>
      </w:r>
      <w:r w:rsidRPr="00F731BA">
        <w:rPr>
          <w:iCs/>
          <w:color w:val="000000" w:themeColor="text1"/>
          <w:highlight w:val="white"/>
        </w:rPr>
        <w:t>9(2)</w:t>
      </w:r>
      <w:r w:rsidR="00985267" w:rsidRPr="00F731BA">
        <w:rPr>
          <w:iCs/>
          <w:color w:val="000000" w:themeColor="text1"/>
          <w:highlight w:val="white"/>
        </w:rPr>
        <w:t>:</w:t>
      </w:r>
      <w:r w:rsidRPr="00F731BA">
        <w:rPr>
          <w:iCs/>
          <w:color w:val="000000" w:themeColor="text1"/>
          <w:highlight w:val="white"/>
        </w:rPr>
        <w:t xml:space="preserve"> </w:t>
      </w:r>
      <w:r w:rsidRPr="00F731BA">
        <w:rPr>
          <w:color w:val="000000" w:themeColor="text1"/>
          <w:highlight w:val="white"/>
        </w:rPr>
        <w:t>129-139.</w:t>
      </w:r>
    </w:p>
    <w:p w14:paraId="116F2B2C" w14:textId="353971BE" w:rsidR="000E03BE" w:rsidRPr="00F731BA" w:rsidRDefault="000E03BE" w:rsidP="001C6AF8">
      <w:pPr>
        <w:spacing w:line="240" w:lineRule="auto"/>
        <w:ind w:left="708" w:hanging="708"/>
        <w:rPr>
          <w:color w:val="000000" w:themeColor="text1"/>
          <w:highlight w:val="white"/>
        </w:rPr>
      </w:pPr>
      <w:r w:rsidRPr="00F731BA">
        <w:rPr>
          <w:color w:val="000000" w:themeColor="text1"/>
          <w:highlight w:val="white"/>
        </w:rPr>
        <w:t>Airton L</w:t>
      </w:r>
      <w:r w:rsidR="00985267" w:rsidRPr="00F731BA">
        <w:rPr>
          <w:color w:val="000000" w:themeColor="text1"/>
          <w:highlight w:val="white"/>
        </w:rPr>
        <w:t xml:space="preserve"> </w:t>
      </w:r>
      <w:r w:rsidR="004841CD" w:rsidRPr="00F731BA">
        <w:rPr>
          <w:color w:val="000000" w:themeColor="text1"/>
          <w:highlight w:val="white"/>
        </w:rPr>
        <w:t>(</w:t>
      </w:r>
      <w:r w:rsidRPr="00F731BA">
        <w:rPr>
          <w:color w:val="000000" w:themeColor="text1"/>
          <w:highlight w:val="white"/>
        </w:rPr>
        <w:t>2013</w:t>
      </w:r>
      <w:r w:rsidR="004841CD" w:rsidRPr="00F731BA">
        <w:rPr>
          <w:color w:val="000000" w:themeColor="text1"/>
          <w:highlight w:val="white"/>
        </w:rPr>
        <w:t>)</w:t>
      </w:r>
      <w:r w:rsidRPr="00F731BA">
        <w:rPr>
          <w:color w:val="000000" w:themeColor="text1"/>
          <w:highlight w:val="white"/>
        </w:rPr>
        <w:t xml:space="preserve"> Leave ‘those kids’ alone: On the conflation of school homophobia and suffering queers. </w:t>
      </w:r>
      <w:r w:rsidRPr="00F731BA">
        <w:rPr>
          <w:i/>
          <w:color w:val="000000" w:themeColor="text1"/>
          <w:highlight w:val="white"/>
        </w:rPr>
        <w:t xml:space="preserve">Curriculum Inquiry </w:t>
      </w:r>
      <w:r w:rsidRPr="00F731BA">
        <w:rPr>
          <w:iCs/>
          <w:color w:val="000000" w:themeColor="text1"/>
          <w:highlight w:val="white"/>
        </w:rPr>
        <w:t>43(5)</w:t>
      </w:r>
      <w:r w:rsidR="00985267" w:rsidRPr="00F731BA">
        <w:rPr>
          <w:iCs/>
          <w:color w:val="000000" w:themeColor="text1"/>
          <w:highlight w:val="white"/>
        </w:rPr>
        <w:t>:</w:t>
      </w:r>
      <w:r w:rsidRPr="00F731BA">
        <w:rPr>
          <w:color w:val="000000" w:themeColor="text1"/>
          <w:highlight w:val="white"/>
        </w:rPr>
        <w:t xml:space="preserve"> 532-562.</w:t>
      </w:r>
    </w:p>
    <w:p w14:paraId="70D7FC11" w14:textId="77CD525F" w:rsidR="000E03BE" w:rsidRPr="00F731BA" w:rsidRDefault="000E03BE" w:rsidP="001C6AF8">
      <w:pPr>
        <w:widowControl w:val="0"/>
        <w:autoSpaceDE w:val="0"/>
        <w:autoSpaceDN w:val="0"/>
        <w:adjustRightInd w:val="0"/>
        <w:spacing w:line="240" w:lineRule="auto"/>
        <w:ind w:left="567" w:hanging="567"/>
        <w:rPr>
          <w:color w:val="000000" w:themeColor="text1"/>
          <w:lang w:val="en-CA"/>
        </w:rPr>
      </w:pPr>
      <w:r w:rsidRPr="00F731BA">
        <w:rPr>
          <w:color w:val="000000" w:themeColor="text1"/>
        </w:rPr>
        <w:t>Airton L</w:t>
      </w:r>
      <w:r w:rsidR="00985267" w:rsidRPr="00F731BA">
        <w:rPr>
          <w:color w:val="000000" w:themeColor="text1"/>
        </w:rPr>
        <w:t xml:space="preserve"> </w:t>
      </w:r>
      <w:r w:rsidR="004841CD" w:rsidRPr="00F731BA">
        <w:rPr>
          <w:color w:val="000000" w:themeColor="text1"/>
        </w:rPr>
        <w:t>(</w:t>
      </w:r>
      <w:r w:rsidRPr="00F731BA">
        <w:rPr>
          <w:color w:val="000000" w:themeColor="text1"/>
        </w:rPr>
        <w:t>2018</w:t>
      </w:r>
      <w:r w:rsidR="004841CD" w:rsidRPr="00F731BA">
        <w:rPr>
          <w:color w:val="000000" w:themeColor="text1"/>
        </w:rPr>
        <w:t>)</w:t>
      </w:r>
      <w:r w:rsidR="00985267" w:rsidRPr="00F731BA">
        <w:rPr>
          <w:color w:val="000000" w:themeColor="text1"/>
        </w:rPr>
        <w:t xml:space="preserve"> </w:t>
      </w:r>
      <w:r w:rsidRPr="00F731BA">
        <w:rPr>
          <w:i/>
          <w:color w:val="000000" w:themeColor="text1"/>
        </w:rPr>
        <w:t>Gender: Your guide - A gender-friendly primer on what to say, what to know, and what to do in the new gender culture</w:t>
      </w:r>
      <w:r w:rsidRPr="00F731BA">
        <w:rPr>
          <w:color w:val="000000" w:themeColor="text1"/>
          <w:lang w:val="en-CA"/>
        </w:rPr>
        <w:t>.</w:t>
      </w:r>
      <w:r w:rsidRPr="00F731BA">
        <w:rPr>
          <w:color w:val="000000" w:themeColor="text1"/>
        </w:rPr>
        <w:t xml:space="preserve"> </w:t>
      </w:r>
      <w:r w:rsidRPr="00F731BA">
        <w:rPr>
          <w:color w:val="000000" w:themeColor="text1"/>
          <w:lang w:val="en-CA"/>
        </w:rPr>
        <w:t xml:space="preserve">Avon, MA: Adams Media (An Imprint of Simon </w:t>
      </w:r>
      <w:r w:rsidR="00693B2E" w:rsidRPr="00F731BA">
        <w:rPr>
          <w:color w:val="000000" w:themeColor="text1"/>
          <w:lang w:val="en-CA"/>
        </w:rPr>
        <w:t>and</w:t>
      </w:r>
      <w:r w:rsidRPr="00F731BA">
        <w:rPr>
          <w:color w:val="000000" w:themeColor="text1"/>
          <w:lang w:val="en-CA"/>
        </w:rPr>
        <w:t xml:space="preserve"> Schuster). </w:t>
      </w:r>
    </w:p>
    <w:p w14:paraId="28EE0426" w14:textId="1FA1DDBC" w:rsidR="000E03BE" w:rsidRPr="00F731BA" w:rsidRDefault="000E03BE" w:rsidP="001C6AF8">
      <w:pPr>
        <w:widowControl w:val="0"/>
        <w:autoSpaceDE w:val="0"/>
        <w:autoSpaceDN w:val="0"/>
        <w:adjustRightInd w:val="0"/>
        <w:spacing w:line="240" w:lineRule="auto"/>
        <w:ind w:left="567" w:hanging="567"/>
        <w:rPr>
          <w:rFonts w:eastAsia="Calibri"/>
          <w:color w:val="000000" w:themeColor="text1"/>
        </w:rPr>
      </w:pPr>
      <w:r w:rsidRPr="00F731BA">
        <w:rPr>
          <w:rFonts w:eastAsia="Calibri"/>
          <w:color w:val="000000" w:themeColor="text1"/>
        </w:rPr>
        <w:t>Airton L</w:t>
      </w:r>
      <w:r w:rsidR="00985267" w:rsidRPr="00F731BA">
        <w:rPr>
          <w:rFonts w:eastAsia="Calibri"/>
          <w:color w:val="000000" w:themeColor="text1"/>
        </w:rPr>
        <w:t>,</w:t>
      </w:r>
      <w:r w:rsidRPr="00F731BA">
        <w:rPr>
          <w:rFonts w:eastAsia="Calibri"/>
          <w:color w:val="000000" w:themeColor="text1"/>
        </w:rPr>
        <w:t xml:space="preserve"> Kirkup K, McMillan</w:t>
      </w:r>
      <w:r w:rsidR="00985267" w:rsidRPr="00F731BA">
        <w:rPr>
          <w:rFonts w:eastAsia="Calibri"/>
          <w:color w:val="000000" w:themeColor="text1"/>
        </w:rPr>
        <w:t xml:space="preserve"> </w:t>
      </w:r>
      <w:r w:rsidRPr="00F731BA">
        <w:rPr>
          <w:rFonts w:eastAsia="Calibri"/>
          <w:color w:val="000000" w:themeColor="text1"/>
        </w:rPr>
        <w:t xml:space="preserve">A </w:t>
      </w:r>
      <w:r w:rsidR="00985267" w:rsidRPr="00F731BA">
        <w:rPr>
          <w:rFonts w:eastAsia="Calibri"/>
          <w:color w:val="000000" w:themeColor="text1"/>
        </w:rPr>
        <w:t>and</w:t>
      </w:r>
      <w:r w:rsidRPr="00F731BA">
        <w:rPr>
          <w:rFonts w:eastAsia="Calibri"/>
          <w:color w:val="000000" w:themeColor="text1"/>
        </w:rPr>
        <w:t xml:space="preserve"> DesRochers J</w:t>
      </w:r>
      <w:r w:rsidR="006C645B" w:rsidRPr="00F731BA">
        <w:rPr>
          <w:rFonts w:eastAsia="Calibri"/>
          <w:color w:val="000000" w:themeColor="text1"/>
        </w:rPr>
        <w:t xml:space="preserve"> </w:t>
      </w:r>
      <w:r w:rsidR="004841CD" w:rsidRPr="00F731BA">
        <w:rPr>
          <w:rFonts w:eastAsia="Calibri"/>
          <w:color w:val="000000" w:themeColor="text1"/>
        </w:rPr>
        <w:t>(</w:t>
      </w:r>
      <w:r w:rsidRPr="00F731BA">
        <w:rPr>
          <w:rFonts w:eastAsia="Calibri"/>
          <w:color w:val="000000" w:themeColor="text1"/>
        </w:rPr>
        <w:t>2019</w:t>
      </w:r>
      <w:r w:rsidR="004841CD" w:rsidRPr="00F731BA">
        <w:rPr>
          <w:rFonts w:eastAsia="Calibri"/>
          <w:color w:val="000000" w:themeColor="text1"/>
        </w:rPr>
        <w:t>)</w:t>
      </w:r>
      <w:r w:rsidRPr="00F731BA">
        <w:rPr>
          <w:rFonts w:eastAsia="Calibri"/>
          <w:color w:val="000000" w:themeColor="text1"/>
        </w:rPr>
        <w:t xml:space="preserve"> What is "gender expression"? How a new and nebulous human rights construct is taking shape in Ontario school board policy documents. </w:t>
      </w:r>
      <w:r w:rsidRPr="00F731BA">
        <w:rPr>
          <w:rFonts w:eastAsia="Calibri"/>
          <w:i/>
          <w:color w:val="000000" w:themeColor="text1"/>
        </w:rPr>
        <w:t>Canadian Journal of Education</w:t>
      </w:r>
      <w:r w:rsidRPr="00F731BA">
        <w:rPr>
          <w:rFonts w:eastAsia="Calibri"/>
          <w:color w:val="000000" w:themeColor="text1"/>
        </w:rPr>
        <w:t xml:space="preserve"> </w:t>
      </w:r>
      <w:r w:rsidRPr="00F731BA">
        <w:rPr>
          <w:rFonts w:eastAsia="Calibri"/>
          <w:iCs/>
          <w:color w:val="000000" w:themeColor="text1"/>
        </w:rPr>
        <w:t>42(4)</w:t>
      </w:r>
      <w:r w:rsidR="00985267" w:rsidRPr="00F731BA">
        <w:rPr>
          <w:rFonts w:eastAsia="Calibri"/>
          <w:iCs/>
          <w:color w:val="000000" w:themeColor="text1"/>
        </w:rPr>
        <w:t>:</w:t>
      </w:r>
      <w:r w:rsidRPr="00F731BA">
        <w:rPr>
          <w:rFonts w:eastAsia="Calibri"/>
          <w:iCs/>
          <w:color w:val="000000" w:themeColor="text1"/>
        </w:rPr>
        <w:t xml:space="preserve"> 1154</w:t>
      </w:r>
      <w:r w:rsidRPr="00F731BA">
        <w:rPr>
          <w:rFonts w:eastAsia="Calibri"/>
          <w:color w:val="000000" w:themeColor="text1"/>
        </w:rPr>
        <w:t>-1182.</w:t>
      </w:r>
    </w:p>
    <w:p w14:paraId="4E21F5E7" w14:textId="743E155E" w:rsidR="000E03BE" w:rsidRPr="00F731BA" w:rsidRDefault="000E03BE" w:rsidP="001C6AF8">
      <w:pPr>
        <w:widowControl w:val="0"/>
        <w:spacing w:line="240" w:lineRule="auto"/>
        <w:ind w:left="709" w:hanging="709"/>
        <w:rPr>
          <w:color w:val="000000" w:themeColor="text1"/>
        </w:rPr>
      </w:pPr>
      <w:r w:rsidRPr="00F731BA">
        <w:rPr>
          <w:color w:val="000000" w:themeColor="text1"/>
        </w:rPr>
        <w:t xml:space="preserve">American Psychiatric Association </w:t>
      </w:r>
      <w:r w:rsidR="004841CD" w:rsidRPr="00F731BA">
        <w:rPr>
          <w:color w:val="000000" w:themeColor="text1"/>
        </w:rPr>
        <w:t>(</w:t>
      </w:r>
      <w:r w:rsidRPr="00F731BA">
        <w:rPr>
          <w:color w:val="000000" w:themeColor="text1"/>
        </w:rPr>
        <w:t>2013</w:t>
      </w:r>
      <w:r w:rsidR="004841CD" w:rsidRPr="00F731BA">
        <w:rPr>
          <w:color w:val="000000" w:themeColor="text1"/>
        </w:rPr>
        <w:t>)</w:t>
      </w:r>
      <w:r w:rsidRPr="00F731BA">
        <w:rPr>
          <w:color w:val="000000" w:themeColor="text1"/>
        </w:rPr>
        <w:t xml:space="preserve"> </w:t>
      </w:r>
      <w:r w:rsidRPr="00F731BA">
        <w:rPr>
          <w:i/>
          <w:color w:val="000000" w:themeColor="text1"/>
        </w:rPr>
        <w:t>Diagnostic and Statistical Manual of Mental Disorders 5</w:t>
      </w:r>
      <w:r w:rsidRPr="00F731BA">
        <w:rPr>
          <w:i/>
          <w:color w:val="000000" w:themeColor="text1"/>
          <w:vertAlign w:val="superscript"/>
        </w:rPr>
        <w:t>th</w:t>
      </w:r>
      <w:r w:rsidRPr="00F731BA">
        <w:rPr>
          <w:i/>
          <w:color w:val="000000" w:themeColor="text1"/>
        </w:rPr>
        <w:t xml:space="preserve"> Edition</w:t>
      </w:r>
      <w:r w:rsidRPr="00F731BA">
        <w:rPr>
          <w:color w:val="000000" w:themeColor="text1"/>
        </w:rPr>
        <w:t>. Washington DC: Author.</w:t>
      </w:r>
    </w:p>
    <w:p w14:paraId="07E37F6E" w14:textId="27F735C8" w:rsidR="000E03BE" w:rsidRPr="00F731BA" w:rsidRDefault="000E03BE" w:rsidP="001C6AF8">
      <w:pPr>
        <w:spacing w:line="240" w:lineRule="auto"/>
        <w:rPr>
          <w:color w:val="000000" w:themeColor="text1"/>
        </w:rPr>
      </w:pPr>
      <w:r w:rsidRPr="00F731BA">
        <w:rPr>
          <w:color w:val="000000" w:themeColor="text1"/>
        </w:rPr>
        <w:t xml:space="preserve">Astington JW </w:t>
      </w:r>
      <w:r w:rsidR="004841CD" w:rsidRPr="00F731BA">
        <w:rPr>
          <w:color w:val="000000" w:themeColor="text1"/>
        </w:rPr>
        <w:t>(</w:t>
      </w:r>
      <w:r w:rsidRPr="00F731BA">
        <w:rPr>
          <w:color w:val="000000" w:themeColor="text1"/>
        </w:rPr>
        <w:t>1993</w:t>
      </w:r>
      <w:r w:rsidR="004841CD" w:rsidRPr="00F731BA">
        <w:rPr>
          <w:color w:val="000000" w:themeColor="text1"/>
        </w:rPr>
        <w:t>)</w:t>
      </w:r>
      <w:r w:rsidRPr="00F731BA">
        <w:rPr>
          <w:color w:val="000000" w:themeColor="text1"/>
        </w:rPr>
        <w:t xml:space="preserve"> </w:t>
      </w:r>
      <w:r w:rsidRPr="00F731BA">
        <w:rPr>
          <w:i/>
          <w:iCs/>
          <w:color w:val="000000" w:themeColor="text1"/>
        </w:rPr>
        <w:t>The child’s discovery of the mind</w:t>
      </w:r>
      <w:r w:rsidRPr="00F731BA">
        <w:rPr>
          <w:color w:val="000000" w:themeColor="text1"/>
        </w:rPr>
        <w:t xml:space="preserve">. Cambridge, MA: Harvard </w:t>
      </w:r>
      <w:r w:rsidRPr="00F731BA">
        <w:rPr>
          <w:color w:val="000000" w:themeColor="text1"/>
        </w:rPr>
        <w:br/>
        <w:t xml:space="preserve"> </w:t>
      </w:r>
      <w:r w:rsidRPr="00F731BA">
        <w:rPr>
          <w:color w:val="000000" w:themeColor="text1"/>
        </w:rPr>
        <w:tab/>
        <w:t xml:space="preserve">University Press. </w:t>
      </w:r>
    </w:p>
    <w:p w14:paraId="3D9C50A4" w14:textId="27F22353" w:rsidR="000E03BE" w:rsidRPr="00F731BA" w:rsidRDefault="000E03BE" w:rsidP="001C6AF8">
      <w:pPr>
        <w:widowControl w:val="0"/>
        <w:spacing w:line="240" w:lineRule="auto"/>
        <w:ind w:left="708" w:hanging="708"/>
        <w:rPr>
          <w:color w:val="000000" w:themeColor="text1"/>
          <w:highlight w:val="white"/>
          <w:u w:val="single"/>
        </w:rPr>
      </w:pPr>
      <w:r w:rsidRPr="00F731BA">
        <w:rPr>
          <w:color w:val="000000" w:themeColor="text1"/>
          <w:highlight w:val="white"/>
        </w:rPr>
        <w:t>Baum J, Brill S, Brown J, Delpercio A, Kahn E, Kenney L</w:t>
      </w:r>
      <w:r w:rsidR="006C645B" w:rsidRPr="00F731BA">
        <w:rPr>
          <w:color w:val="000000" w:themeColor="text1"/>
          <w:highlight w:val="white"/>
        </w:rPr>
        <w:t xml:space="preserve"> and</w:t>
      </w:r>
      <w:r w:rsidRPr="00F731BA">
        <w:rPr>
          <w:color w:val="000000" w:themeColor="text1"/>
          <w:highlight w:val="white"/>
        </w:rPr>
        <w:t xml:space="preserve"> Nicoll A </w:t>
      </w:r>
      <w:r w:rsidR="004841CD" w:rsidRPr="00F731BA">
        <w:rPr>
          <w:color w:val="000000" w:themeColor="text1"/>
          <w:highlight w:val="white"/>
        </w:rPr>
        <w:t>(</w:t>
      </w:r>
      <w:r w:rsidRPr="00F731BA">
        <w:rPr>
          <w:color w:val="000000" w:themeColor="text1"/>
          <w:highlight w:val="white"/>
        </w:rPr>
        <w:t>2012</w:t>
      </w:r>
      <w:r w:rsidR="004841CD" w:rsidRPr="00F731BA">
        <w:rPr>
          <w:color w:val="000000" w:themeColor="text1"/>
          <w:highlight w:val="white"/>
        </w:rPr>
        <w:t>)</w:t>
      </w:r>
      <w:r w:rsidRPr="00F731BA">
        <w:rPr>
          <w:color w:val="000000" w:themeColor="text1"/>
          <w:highlight w:val="white"/>
        </w:rPr>
        <w:t xml:space="preserve"> </w:t>
      </w:r>
      <w:r w:rsidRPr="00F731BA">
        <w:rPr>
          <w:i/>
          <w:color w:val="000000" w:themeColor="text1"/>
          <w:highlight w:val="white"/>
        </w:rPr>
        <w:t>Supporting and caring for our gender expansive youth: Lessons from the Human Rights Campaign's Youth Survey.</w:t>
      </w:r>
      <w:r w:rsidRPr="00F731BA">
        <w:rPr>
          <w:color w:val="000000" w:themeColor="text1"/>
          <w:highlight w:val="white"/>
        </w:rPr>
        <w:t xml:space="preserve"> Washington DC: Author. Retrieved from www.hrc.org/youth-gender</w:t>
      </w:r>
    </w:p>
    <w:p w14:paraId="622840F0" w14:textId="2B6A97D7" w:rsidR="000E03BE" w:rsidRPr="00F731BA" w:rsidRDefault="000E03BE" w:rsidP="005C7097">
      <w:pPr>
        <w:autoSpaceDE w:val="0"/>
        <w:autoSpaceDN w:val="0"/>
        <w:adjustRightInd w:val="0"/>
        <w:spacing w:after="240" w:line="240" w:lineRule="auto"/>
        <w:rPr>
          <w:color w:val="000000" w:themeColor="text1"/>
        </w:rPr>
      </w:pPr>
      <w:r w:rsidRPr="00F731BA">
        <w:rPr>
          <w:color w:val="000000" w:themeColor="text1"/>
        </w:rPr>
        <w:t xml:space="preserve">Best Start Expert Panel on Early Learning </w:t>
      </w:r>
      <w:r w:rsidR="004841CD" w:rsidRPr="00F731BA">
        <w:rPr>
          <w:color w:val="000000" w:themeColor="text1"/>
        </w:rPr>
        <w:t>(</w:t>
      </w:r>
      <w:r w:rsidRPr="00F731BA">
        <w:rPr>
          <w:color w:val="000000" w:themeColor="text1"/>
        </w:rPr>
        <w:t>2007</w:t>
      </w:r>
      <w:r w:rsidR="004841CD" w:rsidRPr="00F731BA">
        <w:rPr>
          <w:color w:val="000000" w:themeColor="text1"/>
        </w:rPr>
        <w:t>)</w:t>
      </w:r>
      <w:r w:rsidRPr="00F731BA">
        <w:rPr>
          <w:color w:val="000000" w:themeColor="text1"/>
        </w:rPr>
        <w:t xml:space="preserve"> </w:t>
      </w:r>
      <w:r w:rsidRPr="00F731BA">
        <w:rPr>
          <w:i/>
          <w:iCs/>
          <w:color w:val="000000" w:themeColor="text1"/>
        </w:rPr>
        <w:t xml:space="preserve">Early Learning for Every Child Today: A </w:t>
      </w:r>
      <w:r w:rsidRPr="00F731BA">
        <w:rPr>
          <w:i/>
          <w:iCs/>
          <w:color w:val="000000" w:themeColor="text1"/>
        </w:rPr>
        <w:br/>
        <w:t xml:space="preserve"> </w:t>
      </w:r>
      <w:r w:rsidRPr="00F731BA">
        <w:rPr>
          <w:i/>
          <w:iCs/>
          <w:color w:val="000000" w:themeColor="text1"/>
        </w:rPr>
        <w:tab/>
        <w:t xml:space="preserve">framework for Ontario early childhood settings. </w:t>
      </w:r>
      <w:r w:rsidRPr="00F731BA">
        <w:rPr>
          <w:color w:val="000000" w:themeColor="text1"/>
        </w:rPr>
        <w:t xml:space="preserve">Retrieved from </w:t>
      </w:r>
      <w:r w:rsidRPr="00F731BA">
        <w:rPr>
          <w:color w:val="000000" w:themeColor="text1"/>
        </w:rPr>
        <w:br/>
        <w:t xml:space="preserve"> </w:t>
      </w:r>
      <w:r w:rsidRPr="00F731BA">
        <w:rPr>
          <w:color w:val="000000" w:themeColor="text1"/>
        </w:rPr>
        <w:tab/>
        <w:t>http://www.cfcollaborative.ca/wp-content/uploads/2010/10/ELECT.pdf</w:t>
      </w:r>
      <w:r w:rsidRPr="00F731BA">
        <w:rPr>
          <w:color w:val="000000" w:themeColor="text1"/>
          <w:highlight w:val="white"/>
        </w:rPr>
        <w:br/>
        <w:t xml:space="preserve">Blaise M </w:t>
      </w:r>
      <w:r w:rsidR="004841CD" w:rsidRPr="00F731BA">
        <w:rPr>
          <w:color w:val="000000" w:themeColor="text1"/>
          <w:highlight w:val="white"/>
        </w:rPr>
        <w:t>(</w:t>
      </w:r>
      <w:r w:rsidRPr="00F731BA">
        <w:rPr>
          <w:color w:val="000000" w:themeColor="text1"/>
          <w:highlight w:val="white"/>
        </w:rPr>
        <w:t>2005</w:t>
      </w:r>
      <w:r w:rsidR="004841CD" w:rsidRPr="00F731BA">
        <w:rPr>
          <w:color w:val="000000" w:themeColor="text1"/>
          <w:highlight w:val="white"/>
        </w:rPr>
        <w:t>)</w:t>
      </w:r>
      <w:r w:rsidRPr="00F731BA">
        <w:rPr>
          <w:color w:val="000000" w:themeColor="text1"/>
          <w:highlight w:val="white"/>
        </w:rPr>
        <w:t xml:space="preserve"> A feminist poststructuralist study of children “doing” gender in an urban </w:t>
      </w:r>
      <w:r w:rsidRPr="00F731BA">
        <w:rPr>
          <w:color w:val="000000" w:themeColor="text1"/>
          <w:highlight w:val="white"/>
        </w:rPr>
        <w:br/>
        <w:t xml:space="preserve"> </w:t>
      </w:r>
      <w:r w:rsidRPr="00F731BA">
        <w:rPr>
          <w:color w:val="000000" w:themeColor="text1"/>
          <w:highlight w:val="white"/>
        </w:rPr>
        <w:tab/>
        <w:t xml:space="preserve">kindergarten classroom. </w:t>
      </w:r>
      <w:r w:rsidRPr="00F731BA">
        <w:rPr>
          <w:i/>
          <w:color w:val="000000" w:themeColor="text1"/>
        </w:rPr>
        <w:t>Early Childhood Research Quarterly</w:t>
      </w:r>
      <w:r w:rsidRPr="00F731BA">
        <w:rPr>
          <w:color w:val="000000" w:themeColor="text1"/>
          <w:highlight w:val="white"/>
        </w:rPr>
        <w:t xml:space="preserve"> </w:t>
      </w:r>
      <w:r w:rsidRPr="00F731BA">
        <w:rPr>
          <w:iCs/>
          <w:color w:val="000000" w:themeColor="text1"/>
        </w:rPr>
        <w:t>20</w:t>
      </w:r>
      <w:r w:rsidRPr="00F731BA">
        <w:rPr>
          <w:iCs/>
          <w:color w:val="000000" w:themeColor="text1"/>
          <w:highlight w:val="white"/>
        </w:rPr>
        <w:t>(1)</w:t>
      </w:r>
      <w:r w:rsidR="006C645B" w:rsidRPr="00F731BA">
        <w:rPr>
          <w:iCs/>
          <w:color w:val="000000" w:themeColor="text1"/>
          <w:highlight w:val="white"/>
        </w:rPr>
        <w:t>:</w:t>
      </w:r>
      <w:r w:rsidRPr="00F731BA">
        <w:rPr>
          <w:color w:val="000000" w:themeColor="text1"/>
          <w:highlight w:val="white"/>
        </w:rPr>
        <w:t xml:space="preserve"> 85-108.</w:t>
      </w:r>
      <w:r w:rsidRPr="00F731BA">
        <w:rPr>
          <w:color w:val="000000" w:themeColor="text1"/>
          <w:highlight w:val="white"/>
        </w:rPr>
        <w:br/>
        <w:t xml:space="preserve">Blaise M </w:t>
      </w:r>
      <w:r w:rsidR="004841CD" w:rsidRPr="00F731BA">
        <w:rPr>
          <w:color w:val="000000" w:themeColor="text1"/>
          <w:highlight w:val="white"/>
        </w:rPr>
        <w:t>(</w:t>
      </w:r>
      <w:r w:rsidRPr="00F731BA">
        <w:rPr>
          <w:color w:val="000000" w:themeColor="text1"/>
          <w:highlight w:val="white"/>
        </w:rPr>
        <w:t>2010</w:t>
      </w:r>
      <w:r w:rsidR="004841CD" w:rsidRPr="00F731BA">
        <w:rPr>
          <w:color w:val="000000" w:themeColor="text1"/>
          <w:highlight w:val="white"/>
        </w:rPr>
        <w:t>)</w:t>
      </w:r>
      <w:r w:rsidRPr="00F731BA">
        <w:rPr>
          <w:color w:val="000000" w:themeColor="text1"/>
          <w:highlight w:val="white"/>
        </w:rPr>
        <w:t xml:space="preserve"> Kiss and tell: Gendered narratives and childhood sexuality. </w:t>
      </w:r>
      <w:r w:rsidRPr="00F731BA">
        <w:rPr>
          <w:i/>
          <w:color w:val="000000" w:themeColor="text1"/>
          <w:highlight w:val="white"/>
        </w:rPr>
        <w:t xml:space="preserve">Australasian </w:t>
      </w:r>
      <w:r w:rsidRPr="00F731BA">
        <w:rPr>
          <w:i/>
          <w:color w:val="000000" w:themeColor="text1"/>
          <w:highlight w:val="white"/>
        </w:rPr>
        <w:br/>
        <w:t xml:space="preserve"> </w:t>
      </w:r>
      <w:r w:rsidRPr="00F731BA">
        <w:rPr>
          <w:i/>
          <w:color w:val="000000" w:themeColor="text1"/>
          <w:highlight w:val="white"/>
        </w:rPr>
        <w:tab/>
        <w:t>Journal of Early Childhood</w:t>
      </w:r>
      <w:r w:rsidRPr="00F731BA">
        <w:rPr>
          <w:color w:val="000000" w:themeColor="text1"/>
          <w:highlight w:val="white"/>
        </w:rPr>
        <w:t xml:space="preserve"> </w:t>
      </w:r>
      <w:r w:rsidRPr="00F731BA">
        <w:rPr>
          <w:iCs/>
          <w:color w:val="000000" w:themeColor="text1"/>
          <w:highlight w:val="white"/>
        </w:rPr>
        <w:t>35(1)</w:t>
      </w:r>
      <w:r w:rsidR="006C645B" w:rsidRPr="00F731BA">
        <w:rPr>
          <w:iCs/>
          <w:color w:val="000000" w:themeColor="text1"/>
          <w:highlight w:val="white"/>
        </w:rPr>
        <w:t>:</w:t>
      </w:r>
      <w:r w:rsidRPr="00F731BA">
        <w:rPr>
          <w:color w:val="000000" w:themeColor="text1"/>
          <w:highlight w:val="white"/>
        </w:rPr>
        <w:t xml:space="preserve"> 1-9.</w:t>
      </w:r>
      <w:r w:rsidRPr="00F731BA">
        <w:rPr>
          <w:color w:val="000000" w:themeColor="text1"/>
          <w:highlight w:val="white"/>
        </w:rPr>
        <w:br/>
        <w:t>Blaise M</w:t>
      </w:r>
      <w:r w:rsidR="006C645B" w:rsidRPr="00F731BA">
        <w:rPr>
          <w:color w:val="000000" w:themeColor="text1"/>
          <w:highlight w:val="white"/>
        </w:rPr>
        <w:t xml:space="preserve"> </w:t>
      </w:r>
      <w:r w:rsidR="004841CD" w:rsidRPr="00F731BA">
        <w:rPr>
          <w:color w:val="000000" w:themeColor="text1"/>
          <w:highlight w:val="white"/>
        </w:rPr>
        <w:t>(</w:t>
      </w:r>
      <w:r w:rsidRPr="00F731BA">
        <w:rPr>
          <w:color w:val="000000" w:themeColor="text1"/>
          <w:highlight w:val="white"/>
        </w:rPr>
        <w:t>2012</w:t>
      </w:r>
      <w:r w:rsidR="004841CD" w:rsidRPr="00F731BA">
        <w:rPr>
          <w:color w:val="000000" w:themeColor="text1"/>
          <w:highlight w:val="white"/>
        </w:rPr>
        <w:t>)</w:t>
      </w:r>
      <w:r w:rsidRPr="00F731BA">
        <w:rPr>
          <w:color w:val="000000" w:themeColor="text1"/>
          <w:highlight w:val="white"/>
        </w:rPr>
        <w:t xml:space="preserve"> </w:t>
      </w:r>
      <w:r w:rsidRPr="00F731BA">
        <w:rPr>
          <w:i/>
          <w:color w:val="000000" w:themeColor="text1"/>
          <w:highlight w:val="white"/>
        </w:rPr>
        <w:t xml:space="preserve">Playing it straight: Uncovering gender discourse in the early childhood </w:t>
      </w:r>
      <w:r w:rsidRPr="00F731BA">
        <w:rPr>
          <w:i/>
          <w:color w:val="000000" w:themeColor="text1"/>
          <w:highlight w:val="white"/>
        </w:rPr>
        <w:br/>
        <w:t xml:space="preserve"> </w:t>
      </w:r>
      <w:r w:rsidRPr="00F731BA">
        <w:rPr>
          <w:i/>
          <w:color w:val="000000" w:themeColor="text1"/>
          <w:highlight w:val="white"/>
        </w:rPr>
        <w:tab/>
        <w:t>classroom</w:t>
      </w:r>
      <w:r w:rsidRPr="00F731BA">
        <w:rPr>
          <w:color w:val="000000" w:themeColor="text1"/>
          <w:highlight w:val="white"/>
        </w:rPr>
        <w:t>. New York: Routledge.</w:t>
      </w:r>
      <w:r w:rsidRPr="00F731BA">
        <w:rPr>
          <w:color w:val="000000" w:themeColor="text1"/>
        </w:rPr>
        <w:br/>
        <w:t>Brill</w:t>
      </w:r>
      <w:r w:rsidR="006C645B" w:rsidRPr="00F731BA">
        <w:rPr>
          <w:color w:val="000000" w:themeColor="text1"/>
        </w:rPr>
        <w:t xml:space="preserve"> </w:t>
      </w:r>
      <w:r w:rsidRPr="00F731BA">
        <w:rPr>
          <w:color w:val="000000" w:themeColor="text1"/>
        </w:rPr>
        <w:t>S</w:t>
      </w:r>
      <w:r w:rsidR="006C645B" w:rsidRPr="00F731BA">
        <w:rPr>
          <w:color w:val="000000" w:themeColor="text1"/>
        </w:rPr>
        <w:t xml:space="preserve"> and</w:t>
      </w:r>
      <w:r w:rsidR="004841CD" w:rsidRPr="00F731BA">
        <w:rPr>
          <w:color w:val="000000" w:themeColor="text1"/>
        </w:rPr>
        <w:t xml:space="preserve"> </w:t>
      </w:r>
      <w:r w:rsidRPr="00F731BA">
        <w:rPr>
          <w:color w:val="000000" w:themeColor="text1"/>
        </w:rPr>
        <w:t xml:space="preserve">Pepper R </w:t>
      </w:r>
      <w:r w:rsidR="004841CD" w:rsidRPr="00F731BA">
        <w:rPr>
          <w:color w:val="000000" w:themeColor="text1"/>
        </w:rPr>
        <w:t>(</w:t>
      </w:r>
      <w:r w:rsidRPr="00F731BA">
        <w:rPr>
          <w:color w:val="000000" w:themeColor="text1"/>
        </w:rPr>
        <w:t>2008</w:t>
      </w:r>
      <w:r w:rsidR="004841CD" w:rsidRPr="00F731BA">
        <w:rPr>
          <w:color w:val="000000" w:themeColor="text1"/>
        </w:rPr>
        <w:t>)</w:t>
      </w:r>
      <w:r w:rsidRPr="00F731BA">
        <w:rPr>
          <w:color w:val="000000" w:themeColor="text1"/>
        </w:rPr>
        <w:t xml:space="preserve"> </w:t>
      </w:r>
      <w:r w:rsidRPr="00F731BA">
        <w:rPr>
          <w:i/>
          <w:color w:val="000000" w:themeColor="text1"/>
        </w:rPr>
        <w:t xml:space="preserve">The transgender child: A handbook for families and </w:t>
      </w:r>
      <w:r w:rsidRPr="00F731BA">
        <w:rPr>
          <w:i/>
          <w:color w:val="000000" w:themeColor="text1"/>
        </w:rPr>
        <w:br/>
        <w:t xml:space="preserve"> </w:t>
      </w:r>
      <w:r w:rsidRPr="00F731BA">
        <w:rPr>
          <w:i/>
          <w:color w:val="000000" w:themeColor="text1"/>
        </w:rPr>
        <w:tab/>
        <w:t>professionals</w:t>
      </w:r>
      <w:r w:rsidRPr="00F731BA">
        <w:rPr>
          <w:color w:val="000000" w:themeColor="text1"/>
        </w:rPr>
        <w:t>. Jersey City, NJ: Cleis Press.</w:t>
      </w:r>
      <w:r w:rsidRPr="00F731BA">
        <w:rPr>
          <w:color w:val="000000" w:themeColor="text1"/>
        </w:rPr>
        <w:br/>
        <w:t xml:space="preserve">Canadian Paediatric Society </w:t>
      </w:r>
      <w:r w:rsidR="004841CD" w:rsidRPr="00F731BA">
        <w:rPr>
          <w:color w:val="000000" w:themeColor="text1"/>
        </w:rPr>
        <w:t>(</w:t>
      </w:r>
      <w:r w:rsidRPr="00F731BA">
        <w:rPr>
          <w:color w:val="000000" w:themeColor="text1"/>
        </w:rPr>
        <w:t>2020</w:t>
      </w:r>
      <w:r w:rsidR="004841CD" w:rsidRPr="00F731BA">
        <w:rPr>
          <w:color w:val="000000" w:themeColor="text1"/>
        </w:rPr>
        <w:t>)</w:t>
      </w:r>
      <w:r w:rsidR="006C645B" w:rsidRPr="00F731BA">
        <w:rPr>
          <w:color w:val="000000" w:themeColor="text1"/>
        </w:rPr>
        <w:t xml:space="preserve"> </w:t>
      </w:r>
      <w:r w:rsidRPr="00F731BA">
        <w:rPr>
          <w:i/>
          <w:iCs/>
          <w:color w:val="000000" w:themeColor="text1"/>
        </w:rPr>
        <w:t>Caring for Kids</w:t>
      </w:r>
      <w:r w:rsidRPr="00F731BA">
        <w:rPr>
          <w:color w:val="000000" w:themeColor="text1"/>
        </w:rPr>
        <w:t xml:space="preserve">: </w:t>
      </w:r>
      <w:r w:rsidRPr="00F731BA">
        <w:rPr>
          <w:i/>
          <w:iCs/>
          <w:color w:val="000000" w:themeColor="text1"/>
        </w:rPr>
        <w:t xml:space="preserve">Information for parents from Canadian </w:t>
      </w:r>
      <w:r w:rsidRPr="00F731BA">
        <w:rPr>
          <w:i/>
          <w:iCs/>
          <w:color w:val="000000" w:themeColor="text1"/>
        </w:rPr>
        <w:br/>
        <w:t xml:space="preserve"> </w:t>
      </w:r>
      <w:r w:rsidRPr="00F731BA">
        <w:rPr>
          <w:i/>
          <w:iCs/>
          <w:color w:val="000000" w:themeColor="text1"/>
        </w:rPr>
        <w:tab/>
        <w:t>paediatricians.</w:t>
      </w:r>
      <w:r w:rsidRPr="00F731BA">
        <w:rPr>
          <w:color w:val="000000" w:themeColor="text1"/>
        </w:rPr>
        <w:t xml:space="preserve"> Retrieved from: https://www.caringforkids.cps.ca/handouts/gender-</w:t>
      </w:r>
      <w:r w:rsidRPr="00F731BA">
        <w:rPr>
          <w:color w:val="000000" w:themeColor="text1"/>
        </w:rPr>
        <w:br/>
        <w:t xml:space="preserve"> </w:t>
      </w:r>
      <w:r w:rsidRPr="00F731BA">
        <w:rPr>
          <w:color w:val="000000" w:themeColor="text1"/>
        </w:rPr>
        <w:tab/>
        <w:t>identity.</w:t>
      </w:r>
      <w:r w:rsidRPr="00F731BA">
        <w:rPr>
          <w:color w:val="000000" w:themeColor="text1"/>
        </w:rPr>
        <w:br/>
      </w:r>
      <w:r w:rsidRPr="00F731BA">
        <w:rPr>
          <w:rFonts w:eastAsia="Arial"/>
          <w:color w:val="000000" w:themeColor="text1"/>
          <w:lang w:val="en-US"/>
        </w:rPr>
        <w:t xml:space="preserve">Child Care and Early Years Act, SO, c 11, Sch 1 </w:t>
      </w:r>
      <w:r w:rsidR="004841CD" w:rsidRPr="00F731BA">
        <w:rPr>
          <w:rFonts w:eastAsia="Arial"/>
          <w:color w:val="000000" w:themeColor="text1"/>
          <w:lang w:val="en-US"/>
        </w:rPr>
        <w:t>(</w:t>
      </w:r>
      <w:r w:rsidRPr="00F731BA">
        <w:rPr>
          <w:rFonts w:eastAsia="Arial"/>
          <w:color w:val="000000" w:themeColor="text1"/>
          <w:lang w:val="en-US"/>
        </w:rPr>
        <w:t>2014</w:t>
      </w:r>
      <w:r w:rsidR="004841CD" w:rsidRPr="00F731BA">
        <w:rPr>
          <w:rFonts w:eastAsia="Arial"/>
          <w:color w:val="000000" w:themeColor="text1"/>
          <w:lang w:val="en-US"/>
        </w:rPr>
        <w:t>)</w:t>
      </w:r>
      <w:r w:rsidRPr="00F731BA">
        <w:rPr>
          <w:rFonts w:eastAsia="Arial"/>
          <w:color w:val="000000" w:themeColor="text1"/>
          <w:lang w:val="en-US"/>
        </w:rPr>
        <w:t xml:space="preserve"> Retrieved from </w:t>
      </w:r>
      <w:r w:rsidRPr="00F731BA">
        <w:rPr>
          <w:rFonts w:eastAsia="Arial"/>
          <w:color w:val="000000" w:themeColor="text1"/>
          <w:lang w:val="en-US"/>
        </w:rPr>
        <w:br/>
        <w:t xml:space="preserve"> </w:t>
      </w:r>
      <w:r w:rsidRPr="00F731BA">
        <w:rPr>
          <w:rFonts w:eastAsia="Arial"/>
          <w:color w:val="000000" w:themeColor="text1"/>
          <w:lang w:val="en-US"/>
        </w:rPr>
        <w:tab/>
        <w:t>http://canlii.ca/t/52cgn</w:t>
      </w:r>
      <w:r w:rsidRPr="00F731BA">
        <w:rPr>
          <w:color w:val="000000" w:themeColor="text1"/>
        </w:rPr>
        <w:br/>
        <w:t xml:space="preserve">Childhood Educators (CECE) </w:t>
      </w:r>
      <w:r w:rsidR="004841CD" w:rsidRPr="00F731BA">
        <w:rPr>
          <w:color w:val="000000" w:themeColor="text1"/>
        </w:rPr>
        <w:t>(</w:t>
      </w:r>
      <w:r w:rsidRPr="00F731BA">
        <w:rPr>
          <w:color w:val="000000" w:themeColor="text1"/>
        </w:rPr>
        <w:t>2019</w:t>
      </w:r>
      <w:r w:rsidR="006C645B" w:rsidRPr="00F731BA">
        <w:rPr>
          <w:color w:val="000000" w:themeColor="text1"/>
        </w:rPr>
        <w:t>)</w:t>
      </w:r>
      <w:r w:rsidRPr="00F731BA">
        <w:rPr>
          <w:color w:val="000000" w:themeColor="text1"/>
        </w:rPr>
        <w:t xml:space="preserve"> About us: </w:t>
      </w:r>
      <w:r w:rsidRPr="00F731BA">
        <w:rPr>
          <w:i/>
          <w:iCs/>
          <w:color w:val="000000" w:themeColor="text1"/>
        </w:rPr>
        <w:t>History of the College</w:t>
      </w:r>
      <w:r w:rsidRPr="00F731BA">
        <w:rPr>
          <w:color w:val="000000" w:themeColor="text1"/>
        </w:rPr>
        <w:t xml:space="preserve">. </w:t>
      </w:r>
      <w:r w:rsidRPr="00F731BA">
        <w:rPr>
          <w:color w:val="000000" w:themeColor="text1"/>
        </w:rPr>
        <w:br/>
        <w:t xml:space="preserve"> </w:t>
      </w:r>
      <w:r w:rsidRPr="00F731BA">
        <w:rPr>
          <w:color w:val="000000" w:themeColor="text1"/>
        </w:rPr>
        <w:tab/>
        <w:t>Retrieved from https://www.college-ece.ca/en/About-Us/History-</w:t>
      </w:r>
      <w:r w:rsidRPr="00F731BA">
        <w:rPr>
          <w:color w:val="000000" w:themeColor="text1"/>
        </w:rPr>
        <w:br/>
        <w:t xml:space="preserve">College of Early Childhood Educators (CECE) </w:t>
      </w:r>
      <w:r w:rsidR="004841CD" w:rsidRPr="00F731BA">
        <w:rPr>
          <w:color w:val="000000" w:themeColor="text1"/>
        </w:rPr>
        <w:t>(</w:t>
      </w:r>
      <w:r w:rsidRPr="00F731BA">
        <w:rPr>
          <w:color w:val="000000" w:themeColor="text1"/>
        </w:rPr>
        <w:t>2019</w:t>
      </w:r>
      <w:r w:rsidR="006C645B" w:rsidRPr="00F731BA">
        <w:rPr>
          <w:color w:val="000000" w:themeColor="text1"/>
        </w:rPr>
        <w:t>)</w:t>
      </w:r>
      <w:r w:rsidRPr="00F731BA">
        <w:rPr>
          <w:color w:val="000000" w:themeColor="text1"/>
        </w:rPr>
        <w:t xml:space="preserve"> About us: </w:t>
      </w:r>
      <w:r w:rsidRPr="00F731BA">
        <w:rPr>
          <w:i/>
          <w:iCs/>
          <w:color w:val="000000" w:themeColor="text1"/>
        </w:rPr>
        <w:t>History of the College</w:t>
      </w:r>
      <w:r w:rsidRPr="00F731BA">
        <w:rPr>
          <w:color w:val="000000" w:themeColor="text1"/>
        </w:rPr>
        <w:t xml:space="preserve">. </w:t>
      </w:r>
      <w:r w:rsidRPr="00F731BA">
        <w:rPr>
          <w:color w:val="000000" w:themeColor="text1"/>
        </w:rPr>
        <w:br/>
        <w:t xml:space="preserve"> </w:t>
      </w:r>
      <w:r w:rsidRPr="00F731BA">
        <w:rPr>
          <w:color w:val="000000" w:themeColor="text1"/>
        </w:rPr>
        <w:tab/>
        <w:t>Retrieved from https://www.college-ece.ca/en/About-Us/History- College of Early</w:t>
      </w:r>
      <w:r w:rsidRPr="00F731BA">
        <w:rPr>
          <w:color w:val="000000" w:themeColor="text1"/>
        </w:rPr>
        <w:br/>
      </w:r>
      <w:r w:rsidRPr="00F731BA">
        <w:rPr>
          <w:color w:val="000000" w:themeColor="text1"/>
          <w:highlight w:val="white"/>
        </w:rPr>
        <w:t>Drescher J</w:t>
      </w:r>
      <w:r w:rsidR="006C645B" w:rsidRPr="00F731BA">
        <w:rPr>
          <w:color w:val="000000" w:themeColor="text1"/>
          <w:highlight w:val="white"/>
        </w:rPr>
        <w:t xml:space="preserve"> and</w:t>
      </w:r>
      <w:r w:rsidR="004841CD" w:rsidRPr="00F731BA">
        <w:rPr>
          <w:color w:val="000000" w:themeColor="text1"/>
          <w:highlight w:val="white"/>
        </w:rPr>
        <w:t xml:space="preserve"> </w:t>
      </w:r>
      <w:r w:rsidRPr="00F731BA">
        <w:rPr>
          <w:color w:val="000000" w:themeColor="text1"/>
          <w:highlight w:val="white"/>
        </w:rPr>
        <w:t xml:space="preserve">Byne W </w:t>
      </w:r>
      <w:r w:rsidR="004841CD" w:rsidRPr="00F731BA">
        <w:rPr>
          <w:color w:val="000000" w:themeColor="text1"/>
          <w:highlight w:val="white"/>
        </w:rPr>
        <w:t>(</w:t>
      </w:r>
      <w:r w:rsidRPr="00F731BA">
        <w:rPr>
          <w:color w:val="000000" w:themeColor="text1"/>
          <w:highlight w:val="white"/>
        </w:rPr>
        <w:t>2012</w:t>
      </w:r>
      <w:r w:rsidR="006C645B" w:rsidRPr="00F731BA">
        <w:rPr>
          <w:color w:val="000000" w:themeColor="text1"/>
          <w:highlight w:val="white"/>
        </w:rPr>
        <w:t>)</w:t>
      </w:r>
      <w:r w:rsidRPr="00F731BA">
        <w:rPr>
          <w:color w:val="000000" w:themeColor="text1"/>
          <w:highlight w:val="white"/>
        </w:rPr>
        <w:t xml:space="preserve"> Gender dysphoric/gender variant (GD/GV) children and </w:t>
      </w:r>
      <w:r w:rsidR="00FB49DD" w:rsidRPr="00F731BA">
        <w:rPr>
          <w:color w:val="000000" w:themeColor="text1"/>
          <w:highlight w:val="white"/>
        </w:rPr>
        <w:br/>
        <w:t xml:space="preserve"> </w:t>
      </w:r>
      <w:r w:rsidR="00FB49DD" w:rsidRPr="00F731BA">
        <w:rPr>
          <w:color w:val="000000" w:themeColor="text1"/>
          <w:highlight w:val="white"/>
        </w:rPr>
        <w:tab/>
      </w:r>
      <w:r w:rsidRPr="00F731BA">
        <w:rPr>
          <w:color w:val="000000" w:themeColor="text1"/>
          <w:highlight w:val="white"/>
        </w:rPr>
        <w:t xml:space="preserve">adolescents: Summarizing what we know and what we have yet to learn. </w:t>
      </w:r>
      <w:r w:rsidRPr="00F731BA">
        <w:rPr>
          <w:i/>
          <w:color w:val="000000" w:themeColor="text1"/>
        </w:rPr>
        <w:t xml:space="preserve">Journal of </w:t>
      </w:r>
      <w:r w:rsidR="00FB49DD" w:rsidRPr="00F731BA">
        <w:rPr>
          <w:i/>
          <w:color w:val="000000" w:themeColor="text1"/>
        </w:rPr>
        <w:br/>
        <w:t xml:space="preserve"> </w:t>
      </w:r>
      <w:r w:rsidR="00FB49DD" w:rsidRPr="00F731BA">
        <w:rPr>
          <w:i/>
          <w:color w:val="000000" w:themeColor="text1"/>
        </w:rPr>
        <w:tab/>
      </w:r>
      <w:r w:rsidRPr="00F731BA">
        <w:rPr>
          <w:i/>
          <w:color w:val="000000" w:themeColor="text1"/>
        </w:rPr>
        <w:t>Homosexuality</w:t>
      </w:r>
      <w:r w:rsidRPr="00F731BA">
        <w:rPr>
          <w:color w:val="000000" w:themeColor="text1"/>
          <w:highlight w:val="white"/>
        </w:rPr>
        <w:t xml:space="preserve"> </w:t>
      </w:r>
      <w:r w:rsidRPr="00F731BA">
        <w:rPr>
          <w:iCs/>
          <w:color w:val="000000" w:themeColor="text1"/>
        </w:rPr>
        <w:t>59</w:t>
      </w:r>
      <w:r w:rsidRPr="00F731BA">
        <w:rPr>
          <w:iCs/>
          <w:color w:val="000000" w:themeColor="text1"/>
          <w:highlight w:val="white"/>
        </w:rPr>
        <w:t>(3)</w:t>
      </w:r>
      <w:r w:rsidR="006C645B" w:rsidRPr="00F731BA">
        <w:rPr>
          <w:iCs/>
          <w:color w:val="000000" w:themeColor="text1"/>
          <w:highlight w:val="white"/>
        </w:rPr>
        <w:t>:</w:t>
      </w:r>
      <w:r w:rsidRPr="00F731BA">
        <w:rPr>
          <w:color w:val="000000" w:themeColor="text1"/>
          <w:highlight w:val="white"/>
        </w:rPr>
        <w:t xml:space="preserve"> 501-510.</w:t>
      </w:r>
      <w:r w:rsidR="005C7097" w:rsidRPr="00F731BA">
        <w:rPr>
          <w:color w:val="000000" w:themeColor="text1"/>
        </w:rPr>
        <w:br/>
      </w:r>
      <w:r w:rsidRPr="00F731BA">
        <w:rPr>
          <w:color w:val="000000" w:themeColor="text1"/>
          <w:highlight w:val="white"/>
        </w:rPr>
        <w:t xml:space="preserve">Ehrensaft D </w:t>
      </w:r>
      <w:r w:rsidR="004841CD" w:rsidRPr="00F731BA">
        <w:rPr>
          <w:color w:val="000000" w:themeColor="text1"/>
          <w:highlight w:val="white"/>
        </w:rPr>
        <w:t>(</w:t>
      </w:r>
      <w:r w:rsidRPr="00F731BA">
        <w:rPr>
          <w:color w:val="000000" w:themeColor="text1"/>
          <w:highlight w:val="white"/>
        </w:rPr>
        <w:t>2016</w:t>
      </w:r>
      <w:r w:rsidR="004841CD" w:rsidRPr="00F731BA">
        <w:rPr>
          <w:color w:val="000000" w:themeColor="text1"/>
          <w:highlight w:val="white"/>
        </w:rPr>
        <w:t>)</w:t>
      </w:r>
      <w:r w:rsidRPr="00F731BA">
        <w:rPr>
          <w:color w:val="000000" w:themeColor="text1"/>
          <w:highlight w:val="white"/>
        </w:rPr>
        <w:t xml:space="preserve"> </w:t>
      </w:r>
      <w:r w:rsidRPr="00F731BA">
        <w:rPr>
          <w:i/>
          <w:color w:val="000000" w:themeColor="text1"/>
          <w:highlight w:val="white"/>
        </w:rPr>
        <w:t xml:space="preserve">The gender creative child: Pathways for nurturing and supporting </w:t>
      </w:r>
      <w:r w:rsidRPr="00F731BA">
        <w:rPr>
          <w:i/>
          <w:color w:val="000000" w:themeColor="text1"/>
          <w:highlight w:val="white"/>
        </w:rPr>
        <w:br/>
        <w:t xml:space="preserve"> </w:t>
      </w:r>
      <w:r w:rsidRPr="00F731BA">
        <w:rPr>
          <w:i/>
          <w:color w:val="000000" w:themeColor="text1"/>
          <w:highlight w:val="white"/>
        </w:rPr>
        <w:tab/>
        <w:t>children who live outside gender boxes</w:t>
      </w:r>
      <w:r w:rsidRPr="00F731BA">
        <w:rPr>
          <w:color w:val="000000" w:themeColor="text1"/>
          <w:highlight w:val="white"/>
        </w:rPr>
        <w:t>. New York: The Experiment.</w:t>
      </w:r>
      <w:r w:rsidR="005C7097" w:rsidRPr="00F731BA">
        <w:rPr>
          <w:color w:val="000000" w:themeColor="text1"/>
        </w:rPr>
        <w:br/>
      </w:r>
      <w:r w:rsidRPr="00F731BA">
        <w:rPr>
          <w:rFonts w:eastAsia="Arial"/>
          <w:color w:val="000000" w:themeColor="text1"/>
          <w:lang w:val="en-US"/>
        </w:rPr>
        <w:t xml:space="preserve">Gananathan R </w:t>
      </w:r>
      <w:r w:rsidR="004841CD" w:rsidRPr="00F731BA">
        <w:rPr>
          <w:rFonts w:eastAsia="Arial"/>
          <w:color w:val="000000" w:themeColor="text1"/>
          <w:lang w:val="en-US"/>
        </w:rPr>
        <w:t>(</w:t>
      </w:r>
      <w:r w:rsidRPr="00F731BA">
        <w:rPr>
          <w:rFonts w:eastAsia="Arial"/>
          <w:color w:val="000000" w:themeColor="text1"/>
          <w:lang w:val="en-US"/>
        </w:rPr>
        <w:t>2015</w:t>
      </w:r>
      <w:r w:rsidR="004841CD" w:rsidRPr="00F731BA">
        <w:rPr>
          <w:rFonts w:eastAsia="Arial"/>
          <w:color w:val="000000" w:themeColor="text1"/>
          <w:lang w:val="en-US"/>
        </w:rPr>
        <w:t>)</w:t>
      </w:r>
      <w:r w:rsidRPr="00F731BA">
        <w:rPr>
          <w:rFonts w:eastAsia="Arial"/>
          <w:color w:val="000000" w:themeColor="text1"/>
          <w:lang w:val="en-US"/>
        </w:rPr>
        <w:t xml:space="preserve"> </w:t>
      </w:r>
      <w:r w:rsidRPr="00F731BA">
        <w:rPr>
          <w:rFonts w:eastAsia="Arial"/>
          <w:i/>
          <w:iCs/>
          <w:color w:val="000000" w:themeColor="text1"/>
          <w:lang w:val="en-US"/>
        </w:rPr>
        <w:t xml:space="preserve">Legal and policy implications for early childhood professionals in </w:t>
      </w:r>
      <w:r w:rsidRPr="00F731BA">
        <w:rPr>
          <w:rFonts w:eastAsia="Arial"/>
          <w:i/>
          <w:iCs/>
          <w:color w:val="000000" w:themeColor="text1"/>
          <w:lang w:val="en-US"/>
        </w:rPr>
        <w:br/>
        <w:t xml:space="preserve"> </w:t>
      </w:r>
      <w:r w:rsidRPr="00F731BA">
        <w:rPr>
          <w:rFonts w:eastAsia="Arial"/>
          <w:i/>
          <w:iCs/>
          <w:color w:val="000000" w:themeColor="text1"/>
          <w:lang w:val="en-US"/>
        </w:rPr>
        <w:tab/>
        <w:t>Ontario’s kindergarten programs</w:t>
      </w:r>
      <w:r w:rsidRPr="00F731BA">
        <w:rPr>
          <w:rFonts w:eastAsia="Arial"/>
          <w:color w:val="000000" w:themeColor="text1"/>
          <w:lang w:val="en-US"/>
        </w:rPr>
        <w:t xml:space="preserve"> (Unpublished doctoral dissertation). </w:t>
      </w:r>
      <w:r w:rsidR="00BB6C7F" w:rsidRPr="00F731BA">
        <w:rPr>
          <w:rFonts w:eastAsia="Arial"/>
          <w:color w:val="000000" w:themeColor="text1"/>
          <w:lang w:val="en-US"/>
        </w:rPr>
        <w:t xml:space="preserve">Toronto, ON: </w:t>
      </w:r>
      <w:r w:rsidR="00BB6C7F" w:rsidRPr="00F731BA">
        <w:rPr>
          <w:rFonts w:eastAsia="Arial"/>
          <w:color w:val="000000" w:themeColor="text1"/>
          <w:lang w:val="en-US"/>
        </w:rPr>
        <w:br/>
        <w:t xml:space="preserve"> </w:t>
      </w:r>
      <w:r w:rsidR="00BB6C7F" w:rsidRPr="00F731BA">
        <w:rPr>
          <w:rFonts w:eastAsia="Arial"/>
          <w:color w:val="000000" w:themeColor="text1"/>
          <w:lang w:val="en-US"/>
        </w:rPr>
        <w:tab/>
        <w:t>University of Toronto.</w:t>
      </w:r>
      <w:r w:rsidR="00BB6C7F" w:rsidRPr="00F731BA">
        <w:rPr>
          <w:color w:val="000000" w:themeColor="text1"/>
        </w:rPr>
        <w:br/>
      </w:r>
      <w:r w:rsidR="00BB6C7F" w:rsidRPr="00F731BA">
        <w:rPr>
          <w:color w:val="000000" w:themeColor="text1"/>
          <w:highlight w:val="white"/>
        </w:rPr>
        <w:t xml:space="preserve">Hidalg MA, Ehrensaft D, Tishelman AC, Clark LF, Garofalo R, Rosenthal SM... and Olson, </w:t>
      </w:r>
      <w:r w:rsidR="00BB6C7F" w:rsidRPr="00F731BA">
        <w:rPr>
          <w:color w:val="000000" w:themeColor="text1"/>
          <w:highlight w:val="white"/>
        </w:rPr>
        <w:br/>
        <w:t xml:space="preserve"> </w:t>
      </w:r>
      <w:r w:rsidR="00BB6C7F" w:rsidRPr="00F731BA">
        <w:rPr>
          <w:color w:val="000000" w:themeColor="text1"/>
          <w:highlight w:val="white"/>
        </w:rPr>
        <w:tab/>
        <w:t xml:space="preserve">J (2013) The gender affirmative model: What we know and what we aim to learn. </w:t>
      </w:r>
      <w:r w:rsidR="005C7097" w:rsidRPr="00F731BA">
        <w:rPr>
          <w:color w:val="000000" w:themeColor="text1"/>
          <w:highlight w:val="white"/>
        </w:rPr>
        <w:br/>
        <w:t xml:space="preserve"> </w:t>
      </w:r>
      <w:r w:rsidR="005C7097" w:rsidRPr="00F731BA">
        <w:rPr>
          <w:color w:val="000000" w:themeColor="text1"/>
          <w:highlight w:val="white"/>
        </w:rPr>
        <w:tab/>
      </w:r>
      <w:r w:rsidRPr="00F731BA">
        <w:rPr>
          <w:i/>
          <w:color w:val="000000" w:themeColor="text1"/>
          <w:highlight w:val="white"/>
        </w:rPr>
        <w:t>Human Development</w:t>
      </w:r>
      <w:r w:rsidRPr="00F731BA">
        <w:rPr>
          <w:color w:val="000000" w:themeColor="text1"/>
          <w:highlight w:val="white"/>
        </w:rPr>
        <w:t xml:space="preserve"> </w:t>
      </w:r>
      <w:r w:rsidRPr="00F731BA">
        <w:rPr>
          <w:iCs/>
          <w:color w:val="000000" w:themeColor="text1"/>
          <w:highlight w:val="white"/>
        </w:rPr>
        <w:t>56(5)</w:t>
      </w:r>
      <w:r w:rsidR="006C645B" w:rsidRPr="00F731BA">
        <w:rPr>
          <w:iCs/>
          <w:color w:val="000000" w:themeColor="text1"/>
          <w:highlight w:val="white"/>
        </w:rPr>
        <w:t>:</w:t>
      </w:r>
      <w:r w:rsidRPr="00F731BA">
        <w:rPr>
          <w:color w:val="000000" w:themeColor="text1"/>
          <w:highlight w:val="white"/>
        </w:rPr>
        <w:t xml:space="preserve"> 285-290.</w:t>
      </w:r>
    </w:p>
    <w:p w14:paraId="3D50117A" w14:textId="3F35F5F8" w:rsidR="000E03BE" w:rsidRPr="00F731BA" w:rsidRDefault="000E03BE" w:rsidP="001C6AF8">
      <w:pPr>
        <w:widowControl w:val="0"/>
        <w:spacing w:line="240" w:lineRule="auto"/>
        <w:ind w:left="708" w:hanging="708"/>
        <w:rPr>
          <w:color w:val="000000" w:themeColor="text1"/>
        </w:rPr>
      </w:pPr>
      <w:r w:rsidRPr="00F731BA">
        <w:rPr>
          <w:color w:val="000000" w:themeColor="text1"/>
          <w:highlight w:val="white"/>
        </w:rPr>
        <w:lastRenderedPageBreak/>
        <w:t>Hill D B, Menvielle E, Sica KM</w:t>
      </w:r>
      <w:r w:rsidR="006C645B" w:rsidRPr="00F731BA">
        <w:rPr>
          <w:color w:val="000000" w:themeColor="text1"/>
          <w:highlight w:val="white"/>
        </w:rPr>
        <w:t xml:space="preserve"> and</w:t>
      </w:r>
      <w:r w:rsidRPr="00F731BA">
        <w:rPr>
          <w:color w:val="000000" w:themeColor="text1"/>
          <w:highlight w:val="white"/>
        </w:rPr>
        <w:t xml:space="preserve"> Johnson A</w:t>
      </w:r>
      <w:r w:rsidR="006C645B" w:rsidRPr="00F731BA">
        <w:rPr>
          <w:color w:val="000000" w:themeColor="text1"/>
          <w:highlight w:val="white"/>
        </w:rPr>
        <w:t xml:space="preserve"> </w:t>
      </w:r>
      <w:r w:rsidR="004841CD" w:rsidRPr="00F731BA">
        <w:rPr>
          <w:color w:val="000000" w:themeColor="text1"/>
          <w:highlight w:val="white"/>
        </w:rPr>
        <w:t>(</w:t>
      </w:r>
      <w:r w:rsidRPr="00F731BA">
        <w:rPr>
          <w:color w:val="000000" w:themeColor="text1"/>
          <w:highlight w:val="white"/>
        </w:rPr>
        <w:t>2010</w:t>
      </w:r>
      <w:r w:rsidR="006C645B" w:rsidRPr="00F731BA">
        <w:rPr>
          <w:color w:val="000000" w:themeColor="text1"/>
          <w:highlight w:val="white"/>
        </w:rPr>
        <w:t>)</w:t>
      </w:r>
      <w:r w:rsidRPr="00F731BA">
        <w:rPr>
          <w:color w:val="000000" w:themeColor="text1"/>
          <w:highlight w:val="white"/>
        </w:rPr>
        <w:t xml:space="preserve"> An affirmative intervention for families with gender variant children: Parental ratings of child mental health and gender. </w:t>
      </w:r>
      <w:r w:rsidRPr="00F731BA">
        <w:rPr>
          <w:i/>
          <w:color w:val="000000" w:themeColor="text1"/>
        </w:rPr>
        <w:t>Journal of Sex &amp; Marital Therapy</w:t>
      </w:r>
      <w:r w:rsidRPr="00F731BA">
        <w:rPr>
          <w:color w:val="000000" w:themeColor="text1"/>
          <w:highlight w:val="white"/>
        </w:rPr>
        <w:t xml:space="preserve"> </w:t>
      </w:r>
      <w:r w:rsidRPr="00F731BA">
        <w:rPr>
          <w:color w:val="000000" w:themeColor="text1"/>
        </w:rPr>
        <w:t>36</w:t>
      </w:r>
      <w:r w:rsidRPr="00F731BA">
        <w:rPr>
          <w:color w:val="000000" w:themeColor="text1"/>
          <w:highlight w:val="white"/>
        </w:rPr>
        <w:t>(1)</w:t>
      </w:r>
      <w:r w:rsidR="006C645B" w:rsidRPr="00F731BA">
        <w:rPr>
          <w:color w:val="000000" w:themeColor="text1"/>
          <w:highlight w:val="white"/>
        </w:rPr>
        <w:t>:</w:t>
      </w:r>
      <w:r w:rsidRPr="00F731BA">
        <w:rPr>
          <w:color w:val="000000" w:themeColor="text1"/>
          <w:highlight w:val="white"/>
        </w:rPr>
        <w:t xml:space="preserve"> 6-23.</w:t>
      </w:r>
    </w:p>
    <w:p w14:paraId="43BB4A70" w14:textId="0B1A63D5" w:rsidR="000E03BE" w:rsidRPr="00F731BA" w:rsidRDefault="000E03BE" w:rsidP="001C6AF8">
      <w:pPr>
        <w:widowControl w:val="0"/>
        <w:spacing w:line="240" w:lineRule="auto"/>
        <w:ind w:left="708" w:hanging="708"/>
        <w:rPr>
          <w:color w:val="000000" w:themeColor="text1"/>
        </w:rPr>
      </w:pPr>
      <w:r w:rsidRPr="00F731BA">
        <w:rPr>
          <w:color w:val="000000" w:themeColor="text1"/>
          <w:highlight w:val="white"/>
        </w:rPr>
        <w:t>Hines S</w:t>
      </w:r>
      <w:r w:rsidR="00937D73" w:rsidRPr="00F731BA">
        <w:rPr>
          <w:color w:val="000000" w:themeColor="text1"/>
          <w:highlight w:val="white"/>
        </w:rPr>
        <w:t xml:space="preserve"> and</w:t>
      </w:r>
      <w:r w:rsidRPr="00F731BA">
        <w:rPr>
          <w:color w:val="000000" w:themeColor="text1"/>
          <w:highlight w:val="white"/>
        </w:rPr>
        <w:t xml:space="preserve"> Santos AC </w:t>
      </w:r>
      <w:r w:rsidR="004841CD" w:rsidRPr="00F731BA">
        <w:rPr>
          <w:color w:val="000000" w:themeColor="text1"/>
          <w:highlight w:val="white"/>
        </w:rPr>
        <w:t>(</w:t>
      </w:r>
      <w:r w:rsidRPr="00F731BA">
        <w:rPr>
          <w:color w:val="000000" w:themeColor="text1"/>
          <w:highlight w:val="white"/>
        </w:rPr>
        <w:t>2018</w:t>
      </w:r>
      <w:r w:rsidR="004841CD" w:rsidRPr="00F731BA">
        <w:rPr>
          <w:color w:val="000000" w:themeColor="text1"/>
          <w:highlight w:val="white"/>
        </w:rPr>
        <w:t>)</w:t>
      </w:r>
      <w:r w:rsidRPr="00F731BA">
        <w:rPr>
          <w:color w:val="000000" w:themeColor="text1"/>
          <w:highlight w:val="white"/>
        </w:rPr>
        <w:t xml:space="preserve"> Trans* policy, politics and research: The UK and Portugal. </w:t>
      </w:r>
      <w:r w:rsidRPr="00F731BA">
        <w:rPr>
          <w:i/>
          <w:color w:val="000000" w:themeColor="text1"/>
        </w:rPr>
        <w:t>Critical Social Policy</w:t>
      </w:r>
      <w:r w:rsidR="00937D73" w:rsidRPr="00F731BA">
        <w:rPr>
          <w:color w:val="000000" w:themeColor="text1"/>
        </w:rPr>
        <w:t xml:space="preserve"> </w:t>
      </w:r>
      <w:r w:rsidRPr="00F731BA">
        <w:rPr>
          <w:i/>
          <w:color w:val="000000" w:themeColor="text1"/>
        </w:rPr>
        <w:t>38</w:t>
      </w:r>
      <w:r w:rsidRPr="00F731BA">
        <w:rPr>
          <w:color w:val="000000" w:themeColor="text1"/>
          <w:highlight w:val="white"/>
        </w:rPr>
        <w:t>(1)</w:t>
      </w:r>
      <w:r w:rsidR="00937D73" w:rsidRPr="00F731BA">
        <w:rPr>
          <w:color w:val="000000" w:themeColor="text1"/>
          <w:highlight w:val="white"/>
        </w:rPr>
        <w:t xml:space="preserve">: </w:t>
      </w:r>
      <w:r w:rsidRPr="00F731BA">
        <w:rPr>
          <w:color w:val="000000" w:themeColor="text1"/>
          <w:highlight w:val="white"/>
        </w:rPr>
        <w:t>35-56.</w:t>
      </w:r>
    </w:p>
    <w:p w14:paraId="0699E9F5" w14:textId="0175A871" w:rsidR="000E03BE" w:rsidRPr="00F731BA" w:rsidRDefault="000E03BE" w:rsidP="001C6AF8">
      <w:pPr>
        <w:widowControl w:val="0"/>
        <w:spacing w:line="240" w:lineRule="auto"/>
        <w:ind w:left="708" w:hanging="708"/>
        <w:rPr>
          <w:color w:val="000000" w:themeColor="text1"/>
        </w:rPr>
      </w:pPr>
      <w:r w:rsidRPr="00F731BA">
        <w:rPr>
          <w:color w:val="000000" w:themeColor="text1"/>
        </w:rPr>
        <w:t xml:space="preserve">Kirkup K </w:t>
      </w:r>
      <w:r w:rsidR="004841CD" w:rsidRPr="00F731BA">
        <w:rPr>
          <w:color w:val="000000" w:themeColor="text1"/>
        </w:rPr>
        <w:t>(</w:t>
      </w:r>
      <w:r w:rsidRPr="00F731BA">
        <w:rPr>
          <w:color w:val="000000" w:themeColor="text1"/>
        </w:rPr>
        <w:t>2018</w:t>
      </w:r>
      <w:r w:rsidR="004841CD" w:rsidRPr="00F731BA">
        <w:rPr>
          <w:color w:val="000000" w:themeColor="text1"/>
        </w:rPr>
        <w:t>)</w:t>
      </w:r>
      <w:r w:rsidRPr="00F731BA">
        <w:rPr>
          <w:color w:val="000000" w:themeColor="text1"/>
        </w:rPr>
        <w:t xml:space="preserve"> The origins of gender identity and gender expression in Anglo-American human rights law. </w:t>
      </w:r>
      <w:r w:rsidRPr="00F731BA">
        <w:rPr>
          <w:i/>
          <w:color w:val="000000" w:themeColor="text1"/>
        </w:rPr>
        <w:t xml:space="preserve">University of Toronto Law Journal </w:t>
      </w:r>
      <w:r w:rsidRPr="00F731BA">
        <w:rPr>
          <w:iCs/>
          <w:color w:val="000000" w:themeColor="text1"/>
        </w:rPr>
        <w:t>68(1)</w:t>
      </w:r>
      <w:r w:rsidR="00937D73" w:rsidRPr="00F731BA">
        <w:rPr>
          <w:iCs/>
          <w:color w:val="000000" w:themeColor="text1"/>
        </w:rPr>
        <w:t>:</w:t>
      </w:r>
      <w:r w:rsidRPr="00F731BA">
        <w:rPr>
          <w:color w:val="000000" w:themeColor="text1"/>
        </w:rPr>
        <w:t xml:space="preserve"> 80-117. http://doi.org/10.3138/utlj.2017-0080</w:t>
      </w:r>
    </w:p>
    <w:p w14:paraId="59B112A1" w14:textId="049056B4" w:rsidR="000E03BE" w:rsidRPr="00F731BA" w:rsidRDefault="000E03BE" w:rsidP="001C6AF8">
      <w:pPr>
        <w:widowControl w:val="0"/>
        <w:pBdr>
          <w:top w:val="nil"/>
          <w:left w:val="nil"/>
          <w:bottom w:val="nil"/>
          <w:right w:val="nil"/>
          <w:between w:val="nil"/>
        </w:pBdr>
        <w:spacing w:line="240" w:lineRule="auto"/>
        <w:ind w:left="708" w:hanging="708"/>
        <w:rPr>
          <w:color w:val="000000" w:themeColor="text1"/>
        </w:rPr>
      </w:pPr>
      <w:r w:rsidRPr="00F731BA">
        <w:rPr>
          <w:color w:val="000000" w:themeColor="text1"/>
          <w:highlight w:val="white"/>
        </w:rPr>
        <w:t>Klemmer CL, Rusow</w:t>
      </w:r>
      <w:r w:rsidR="00937D73" w:rsidRPr="00F731BA">
        <w:rPr>
          <w:color w:val="000000" w:themeColor="text1"/>
          <w:highlight w:val="white"/>
        </w:rPr>
        <w:t xml:space="preserve"> </w:t>
      </w:r>
      <w:r w:rsidRPr="00F731BA">
        <w:rPr>
          <w:color w:val="000000" w:themeColor="text1"/>
          <w:highlight w:val="white"/>
        </w:rPr>
        <w:t>J, Goldbach</w:t>
      </w:r>
      <w:r w:rsidR="00937D73" w:rsidRPr="00F731BA">
        <w:rPr>
          <w:color w:val="000000" w:themeColor="text1"/>
          <w:highlight w:val="white"/>
        </w:rPr>
        <w:t xml:space="preserve"> </w:t>
      </w:r>
      <w:r w:rsidRPr="00F731BA">
        <w:rPr>
          <w:color w:val="000000" w:themeColor="text1"/>
          <w:highlight w:val="white"/>
        </w:rPr>
        <w:t>J, Kattari SK</w:t>
      </w:r>
      <w:r w:rsidR="00937D73" w:rsidRPr="00F731BA">
        <w:rPr>
          <w:color w:val="000000" w:themeColor="text1"/>
          <w:highlight w:val="white"/>
        </w:rPr>
        <w:t xml:space="preserve"> and</w:t>
      </w:r>
      <w:r w:rsidRPr="00F731BA">
        <w:rPr>
          <w:color w:val="000000" w:themeColor="text1"/>
          <w:highlight w:val="white"/>
        </w:rPr>
        <w:t xml:space="preserve"> Rice E </w:t>
      </w:r>
      <w:r w:rsidR="004841CD" w:rsidRPr="00F731BA">
        <w:rPr>
          <w:color w:val="000000" w:themeColor="text1"/>
          <w:highlight w:val="white"/>
        </w:rPr>
        <w:t>(</w:t>
      </w:r>
      <w:r w:rsidRPr="00F731BA">
        <w:rPr>
          <w:color w:val="000000" w:themeColor="text1"/>
          <w:highlight w:val="white"/>
        </w:rPr>
        <w:t>2019</w:t>
      </w:r>
      <w:r w:rsidR="004841CD" w:rsidRPr="00F731BA">
        <w:rPr>
          <w:color w:val="000000" w:themeColor="text1"/>
          <w:highlight w:val="white"/>
        </w:rPr>
        <w:t>)</w:t>
      </w:r>
      <w:r w:rsidRPr="00F731BA">
        <w:rPr>
          <w:color w:val="000000" w:themeColor="text1"/>
          <w:highlight w:val="white"/>
        </w:rPr>
        <w:t xml:space="preserve"> Socially assigned gender nonconformity and school violence experience among transgender and cisgender adolescents. </w:t>
      </w:r>
      <w:r w:rsidRPr="00F731BA">
        <w:rPr>
          <w:i/>
          <w:color w:val="000000" w:themeColor="text1"/>
        </w:rPr>
        <w:t>Journal of Interpersonal Violence</w:t>
      </w:r>
      <w:r w:rsidR="00937D73" w:rsidRPr="00F731BA">
        <w:rPr>
          <w:color w:val="000000" w:themeColor="text1"/>
          <w:highlight w:val="white"/>
        </w:rPr>
        <w:t xml:space="preserve"> </w:t>
      </w:r>
      <w:r w:rsidRPr="00F731BA">
        <w:rPr>
          <w:color w:val="000000" w:themeColor="text1"/>
          <w:highlight w:val="white"/>
        </w:rPr>
        <w:t xml:space="preserve">Advance online publication. </w:t>
      </w:r>
      <w:hyperlink r:id="rId8">
        <w:r w:rsidRPr="00F731BA">
          <w:rPr>
            <w:color w:val="000000" w:themeColor="text1"/>
            <w:highlight w:val="white"/>
          </w:rPr>
          <w:t>https://doi.org/10.1177/0886260519844781</w:t>
        </w:r>
      </w:hyperlink>
    </w:p>
    <w:p w14:paraId="792484EA" w14:textId="6C1C5E1A" w:rsidR="000E03BE" w:rsidRPr="00F731BA" w:rsidRDefault="000E03BE" w:rsidP="001C6AF8">
      <w:pPr>
        <w:spacing w:line="240" w:lineRule="auto"/>
        <w:rPr>
          <w:color w:val="000000" w:themeColor="text1"/>
        </w:rPr>
      </w:pPr>
      <w:r w:rsidRPr="00F731BA">
        <w:rPr>
          <w:color w:val="000000" w:themeColor="text1"/>
        </w:rPr>
        <w:t xml:space="preserve">MacNaughton G </w:t>
      </w:r>
      <w:r w:rsidR="004841CD" w:rsidRPr="00F731BA">
        <w:rPr>
          <w:color w:val="000000" w:themeColor="text1"/>
        </w:rPr>
        <w:t>(</w:t>
      </w:r>
      <w:r w:rsidRPr="00F731BA">
        <w:rPr>
          <w:color w:val="000000" w:themeColor="text1"/>
        </w:rPr>
        <w:t>2006</w:t>
      </w:r>
      <w:r w:rsidR="004841CD" w:rsidRPr="00F731BA">
        <w:rPr>
          <w:color w:val="000000" w:themeColor="text1"/>
        </w:rPr>
        <w:t>)</w:t>
      </w:r>
      <w:r w:rsidRPr="00F731BA">
        <w:rPr>
          <w:color w:val="000000" w:themeColor="text1"/>
        </w:rPr>
        <w:t xml:space="preserve"> Constructing gender in early-years education. In </w:t>
      </w:r>
      <w:r w:rsidRPr="00F731BA">
        <w:rPr>
          <w:i/>
          <w:iCs/>
          <w:color w:val="000000" w:themeColor="text1"/>
        </w:rPr>
        <w:t xml:space="preserve">The SAGE </w:t>
      </w:r>
      <w:r w:rsidRPr="00F731BA">
        <w:rPr>
          <w:i/>
          <w:iCs/>
          <w:color w:val="000000" w:themeColor="text1"/>
        </w:rPr>
        <w:br/>
        <w:t xml:space="preserve"> </w:t>
      </w:r>
      <w:r w:rsidRPr="00F731BA">
        <w:rPr>
          <w:i/>
          <w:iCs/>
          <w:color w:val="000000" w:themeColor="text1"/>
        </w:rPr>
        <w:tab/>
        <w:t>Handbook of Gender and Education</w:t>
      </w:r>
      <w:r w:rsidRPr="00F731BA">
        <w:rPr>
          <w:color w:val="000000" w:themeColor="text1"/>
        </w:rPr>
        <w:t xml:space="preserve">, edited by C. Skelton, B. Francis, and L. </w:t>
      </w:r>
      <w:r w:rsidRPr="00F731BA">
        <w:rPr>
          <w:color w:val="000000" w:themeColor="text1"/>
        </w:rPr>
        <w:br/>
        <w:t xml:space="preserve"> </w:t>
      </w:r>
      <w:r w:rsidRPr="00F731BA">
        <w:rPr>
          <w:color w:val="000000" w:themeColor="text1"/>
        </w:rPr>
        <w:tab/>
        <w:t>Smulyan</w:t>
      </w:r>
      <w:r w:rsidR="00937D73" w:rsidRPr="00F731BA">
        <w:rPr>
          <w:color w:val="000000" w:themeColor="text1"/>
        </w:rPr>
        <w:t xml:space="preserve">: </w:t>
      </w:r>
      <w:r w:rsidRPr="00F731BA">
        <w:rPr>
          <w:color w:val="000000" w:themeColor="text1"/>
        </w:rPr>
        <w:t>127-138. London: Sage.</w:t>
      </w:r>
    </w:p>
    <w:p w14:paraId="5D25C0DE" w14:textId="7A134281" w:rsidR="000E03BE" w:rsidRPr="00F731BA" w:rsidRDefault="000E03BE" w:rsidP="001C6AF8">
      <w:pPr>
        <w:widowControl w:val="0"/>
        <w:pBdr>
          <w:top w:val="nil"/>
          <w:left w:val="nil"/>
          <w:bottom w:val="nil"/>
          <w:right w:val="nil"/>
          <w:between w:val="nil"/>
        </w:pBdr>
        <w:spacing w:line="240" w:lineRule="auto"/>
        <w:ind w:left="708" w:hanging="708"/>
        <w:rPr>
          <w:color w:val="000000" w:themeColor="text1"/>
        </w:rPr>
      </w:pPr>
      <w:r w:rsidRPr="00F731BA">
        <w:rPr>
          <w:color w:val="000000" w:themeColor="text1"/>
        </w:rPr>
        <w:t>Martino</w:t>
      </w:r>
      <w:r w:rsidR="00937D73" w:rsidRPr="00F731BA">
        <w:rPr>
          <w:color w:val="000000" w:themeColor="text1"/>
        </w:rPr>
        <w:t xml:space="preserve"> </w:t>
      </w:r>
      <w:r w:rsidRPr="00F731BA">
        <w:rPr>
          <w:color w:val="000000" w:themeColor="text1"/>
        </w:rPr>
        <w:t xml:space="preserve">W </w:t>
      </w:r>
      <w:r w:rsidR="00937D73" w:rsidRPr="00F731BA">
        <w:rPr>
          <w:color w:val="000000" w:themeColor="text1"/>
        </w:rPr>
        <w:t>and</w:t>
      </w:r>
      <w:r w:rsidRPr="00F731BA">
        <w:rPr>
          <w:color w:val="000000" w:themeColor="text1"/>
        </w:rPr>
        <w:t xml:space="preserve"> Cumming-Potvin W</w:t>
      </w:r>
      <w:r w:rsidR="00937D73" w:rsidRPr="00F731BA">
        <w:rPr>
          <w:color w:val="000000" w:themeColor="text1"/>
        </w:rPr>
        <w:t xml:space="preserve"> </w:t>
      </w:r>
      <w:r w:rsidR="008A70DC" w:rsidRPr="00F731BA">
        <w:rPr>
          <w:color w:val="000000" w:themeColor="text1"/>
        </w:rPr>
        <w:t>(</w:t>
      </w:r>
      <w:r w:rsidRPr="00F731BA">
        <w:rPr>
          <w:color w:val="000000" w:themeColor="text1"/>
        </w:rPr>
        <w:t>2018</w:t>
      </w:r>
      <w:r w:rsidR="008A70DC" w:rsidRPr="00F731BA">
        <w:rPr>
          <w:color w:val="000000" w:themeColor="text1"/>
        </w:rPr>
        <w:t>)</w:t>
      </w:r>
      <w:r w:rsidRPr="00F731BA">
        <w:rPr>
          <w:color w:val="000000" w:themeColor="text1"/>
        </w:rPr>
        <w:t xml:space="preserve"> Transgender and gender expansive education research, policy and practice: reflecting on epistemological and ontological possibilities of bodily becoming. </w:t>
      </w:r>
      <w:r w:rsidRPr="00F731BA">
        <w:rPr>
          <w:i/>
          <w:color w:val="000000" w:themeColor="text1"/>
        </w:rPr>
        <w:t>Gender and Education</w:t>
      </w:r>
      <w:r w:rsidR="00937D73" w:rsidRPr="00F731BA">
        <w:rPr>
          <w:i/>
          <w:color w:val="000000" w:themeColor="text1"/>
        </w:rPr>
        <w:t xml:space="preserve"> </w:t>
      </w:r>
      <w:r w:rsidRPr="00F731BA">
        <w:rPr>
          <w:iCs/>
          <w:color w:val="000000" w:themeColor="text1"/>
        </w:rPr>
        <w:t>30(6)</w:t>
      </w:r>
      <w:r w:rsidR="00937D73" w:rsidRPr="00F731BA">
        <w:rPr>
          <w:iCs/>
          <w:color w:val="000000" w:themeColor="text1"/>
        </w:rPr>
        <w:t>:</w:t>
      </w:r>
      <w:r w:rsidRPr="00F731BA">
        <w:rPr>
          <w:color w:val="000000" w:themeColor="text1"/>
        </w:rPr>
        <w:t xml:space="preserve"> 687-694.</w:t>
      </w:r>
    </w:p>
    <w:p w14:paraId="18B1C54E" w14:textId="01787F06" w:rsidR="000E03BE" w:rsidRPr="00F731BA" w:rsidRDefault="000E03BE" w:rsidP="001C6AF8">
      <w:pPr>
        <w:autoSpaceDE w:val="0"/>
        <w:autoSpaceDN w:val="0"/>
        <w:adjustRightInd w:val="0"/>
        <w:spacing w:line="240" w:lineRule="auto"/>
        <w:rPr>
          <w:rFonts w:eastAsia="Arial"/>
          <w:color w:val="000000" w:themeColor="text1"/>
          <w:lang w:val="en-US"/>
        </w:rPr>
      </w:pPr>
      <w:r w:rsidRPr="00F731BA">
        <w:rPr>
          <w:rFonts w:eastAsia="Arial"/>
          <w:color w:val="000000" w:themeColor="text1"/>
          <w:lang w:val="en-US"/>
        </w:rPr>
        <w:t>McCuaig K</w:t>
      </w:r>
      <w:r w:rsidR="00937D73" w:rsidRPr="00F731BA">
        <w:rPr>
          <w:rFonts w:eastAsia="Arial"/>
          <w:color w:val="000000" w:themeColor="text1"/>
          <w:lang w:val="en-US"/>
        </w:rPr>
        <w:t xml:space="preserve"> and </w:t>
      </w:r>
      <w:r w:rsidRPr="00F731BA">
        <w:rPr>
          <w:rFonts w:eastAsia="Arial"/>
          <w:color w:val="000000" w:themeColor="text1"/>
          <w:lang w:val="en-US"/>
        </w:rPr>
        <w:t xml:space="preserve">Akbari E </w:t>
      </w:r>
      <w:r w:rsidR="008A70DC" w:rsidRPr="00F731BA">
        <w:rPr>
          <w:rFonts w:eastAsia="Arial"/>
          <w:color w:val="000000" w:themeColor="text1"/>
          <w:lang w:val="en-US"/>
        </w:rPr>
        <w:t>(</w:t>
      </w:r>
      <w:r w:rsidRPr="00F731BA">
        <w:rPr>
          <w:rFonts w:eastAsia="Arial"/>
          <w:color w:val="000000" w:themeColor="text1"/>
          <w:lang w:val="en-US"/>
        </w:rPr>
        <w:t>2014</w:t>
      </w:r>
      <w:r w:rsidR="008A70DC" w:rsidRPr="00F731BA">
        <w:rPr>
          <w:rFonts w:eastAsia="Arial"/>
          <w:color w:val="000000" w:themeColor="text1"/>
          <w:lang w:val="en-US"/>
        </w:rPr>
        <w:t>)</w:t>
      </w:r>
      <w:r w:rsidRPr="00F731BA">
        <w:rPr>
          <w:rFonts w:eastAsia="Arial"/>
          <w:color w:val="000000" w:themeColor="text1"/>
          <w:lang w:val="en-US"/>
        </w:rPr>
        <w:t xml:space="preserve"> </w:t>
      </w:r>
      <w:r w:rsidRPr="00F731BA">
        <w:rPr>
          <w:rFonts w:eastAsia="Arial"/>
          <w:i/>
          <w:iCs/>
          <w:color w:val="000000" w:themeColor="text1"/>
          <w:lang w:val="en-US"/>
        </w:rPr>
        <w:t>Early childhood education report 2014.</w:t>
      </w:r>
      <w:r w:rsidRPr="00F731BA">
        <w:rPr>
          <w:rFonts w:eastAsia="Arial"/>
          <w:color w:val="000000" w:themeColor="text1"/>
          <w:lang w:val="en-US"/>
        </w:rPr>
        <w:t xml:space="preserve"> Toronto, ON:</w:t>
      </w:r>
      <w:r w:rsidRPr="00F731BA">
        <w:rPr>
          <w:rFonts w:eastAsia="Arial"/>
          <w:color w:val="000000" w:themeColor="text1"/>
          <w:lang w:val="en-US"/>
        </w:rPr>
        <w:br/>
        <w:t xml:space="preserve"> </w:t>
      </w:r>
      <w:r w:rsidRPr="00F731BA">
        <w:rPr>
          <w:rFonts w:eastAsia="Arial"/>
          <w:color w:val="000000" w:themeColor="text1"/>
          <w:lang w:val="en-US"/>
        </w:rPr>
        <w:tab/>
        <w:t>Atkinson Centre for Society and Child Development, OISE/University of Toronto.</w:t>
      </w:r>
    </w:p>
    <w:p w14:paraId="76EAF34F" w14:textId="01B61599" w:rsidR="000E03BE" w:rsidRPr="00F731BA" w:rsidRDefault="000E03BE" w:rsidP="001C6AF8">
      <w:pPr>
        <w:widowControl w:val="0"/>
        <w:pBdr>
          <w:top w:val="nil"/>
          <w:left w:val="nil"/>
          <w:bottom w:val="nil"/>
          <w:right w:val="nil"/>
          <w:between w:val="nil"/>
        </w:pBdr>
        <w:spacing w:line="240" w:lineRule="auto"/>
        <w:ind w:left="708" w:hanging="708"/>
        <w:rPr>
          <w:color w:val="000000" w:themeColor="text1"/>
        </w:rPr>
      </w:pPr>
      <w:r w:rsidRPr="00F731BA">
        <w:rPr>
          <w:color w:val="000000" w:themeColor="text1"/>
          <w:highlight w:val="white"/>
        </w:rPr>
        <w:t>Meyer</w:t>
      </w:r>
      <w:r w:rsidR="00937D73" w:rsidRPr="00F731BA">
        <w:rPr>
          <w:color w:val="000000" w:themeColor="text1"/>
          <w:highlight w:val="white"/>
        </w:rPr>
        <w:t xml:space="preserve"> </w:t>
      </w:r>
      <w:r w:rsidRPr="00F731BA">
        <w:rPr>
          <w:color w:val="000000" w:themeColor="text1"/>
          <w:highlight w:val="white"/>
        </w:rPr>
        <w:t xml:space="preserve">EJ </w:t>
      </w:r>
      <w:r w:rsidR="00937D73" w:rsidRPr="00F731BA">
        <w:rPr>
          <w:color w:val="000000" w:themeColor="text1"/>
          <w:highlight w:val="white"/>
        </w:rPr>
        <w:t>and</w:t>
      </w:r>
      <w:r w:rsidRPr="00F731BA">
        <w:rPr>
          <w:color w:val="000000" w:themeColor="text1"/>
          <w:highlight w:val="white"/>
        </w:rPr>
        <w:t xml:space="preserve"> Pullen Sansfaçon A </w:t>
      </w:r>
      <w:r w:rsidR="00937D73" w:rsidRPr="00F731BA">
        <w:rPr>
          <w:color w:val="000000" w:themeColor="text1"/>
          <w:highlight w:val="white"/>
        </w:rPr>
        <w:t>(e</w:t>
      </w:r>
      <w:r w:rsidRPr="00F731BA">
        <w:rPr>
          <w:color w:val="000000" w:themeColor="text1"/>
          <w:highlight w:val="white"/>
        </w:rPr>
        <w:t>ds</w:t>
      </w:r>
      <w:r w:rsidR="00937D73" w:rsidRPr="00F731BA">
        <w:rPr>
          <w:color w:val="000000" w:themeColor="text1"/>
          <w:highlight w:val="white"/>
        </w:rPr>
        <w:t>)</w:t>
      </w:r>
      <w:r w:rsidRPr="00F731BA">
        <w:rPr>
          <w:color w:val="000000" w:themeColor="text1"/>
          <w:highlight w:val="white"/>
        </w:rPr>
        <w:t xml:space="preserve"> </w:t>
      </w:r>
      <w:r w:rsidR="008A70DC" w:rsidRPr="00F731BA">
        <w:rPr>
          <w:color w:val="000000" w:themeColor="text1"/>
          <w:highlight w:val="white"/>
        </w:rPr>
        <w:t>(</w:t>
      </w:r>
      <w:r w:rsidRPr="00F731BA">
        <w:rPr>
          <w:color w:val="000000" w:themeColor="text1"/>
          <w:highlight w:val="white"/>
        </w:rPr>
        <w:t>2018</w:t>
      </w:r>
      <w:r w:rsidR="008A70DC" w:rsidRPr="00F731BA">
        <w:rPr>
          <w:color w:val="000000" w:themeColor="text1"/>
          <w:highlight w:val="white"/>
        </w:rPr>
        <w:t>)</w:t>
      </w:r>
      <w:r w:rsidRPr="00F731BA">
        <w:rPr>
          <w:color w:val="000000" w:themeColor="text1"/>
          <w:highlight w:val="white"/>
        </w:rPr>
        <w:t xml:space="preserve"> </w:t>
      </w:r>
      <w:r w:rsidRPr="00F731BA">
        <w:rPr>
          <w:i/>
          <w:color w:val="000000" w:themeColor="text1"/>
          <w:highlight w:val="white"/>
        </w:rPr>
        <w:t xml:space="preserve">Supporting transgender and gender creative youth: Schools, families, and communities in action </w:t>
      </w:r>
      <w:r w:rsidRPr="00F731BA">
        <w:rPr>
          <w:color w:val="000000" w:themeColor="text1"/>
          <w:highlight w:val="white"/>
        </w:rPr>
        <w:t>(Rev. Ed.). New York, NY: Peter Lang.</w:t>
      </w:r>
    </w:p>
    <w:p w14:paraId="2E8523D2" w14:textId="308C3491" w:rsidR="000E03BE" w:rsidRPr="00F731BA" w:rsidRDefault="000E03BE" w:rsidP="001C6AF8">
      <w:pPr>
        <w:spacing w:line="240" w:lineRule="auto"/>
        <w:rPr>
          <w:color w:val="000000" w:themeColor="text1"/>
        </w:rPr>
      </w:pPr>
      <w:r w:rsidRPr="00F731BA">
        <w:rPr>
          <w:color w:val="000000" w:themeColor="text1"/>
          <w:highlight w:val="white"/>
        </w:rPr>
        <w:t>Olson</w:t>
      </w:r>
      <w:r w:rsidR="00937D73" w:rsidRPr="00F731BA">
        <w:rPr>
          <w:color w:val="000000" w:themeColor="text1"/>
          <w:highlight w:val="white"/>
        </w:rPr>
        <w:t xml:space="preserve"> </w:t>
      </w:r>
      <w:r w:rsidRPr="00F731BA">
        <w:rPr>
          <w:color w:val="000000" w:themeColor="text1"/>
          <w:highlight w:val="white"/>
        </w:rPr>
        <w:t>KR</w:t>
      </w:r>
      <w:r w:rsidR="00937D73" w:rsidRPr="00F731BA">
        <w:rPr>
          <w:color w:val="000000" w:themeColor="text1"/>
          <w:highlight w:val="white"/>
        </w:rPr>
        <w:t xml:space="preserve">, </w:t>
      </w:r>
      <w:r w:rsidRPr="00F731BA">
        <w:rPr>
          <w:color w:val="000000" w:themeColor="text1"/>
          <w:highlight w:val="white"/>
        </w:rPr>
        <w:t>Durwood L, DeMeules M</w:t>
      </w:r>
      <w:r w:rsidR="00937D73" w:rsidRPr="00F731BA">
        <w:rPr>
          <w:color w:val="000000" w:themeColor="text1"/>
          <w:highlight w:val="white"/>
        </w:rPr>
        <w:t xml:space="preserve"> and </w:t>
      </w:r>
      <w:r w:rsidRPr="00F731BA">
        <w:rPr>
          <w:color w:val="000000" w:themeColor="text1"/>
          <w:highlight w:val="white"/>
        </w:rPr>
        <w:t xml:space="preserve">McLaughlin KA </w:t>
      </w:r>
      <w:r w:rsidR="008A70DC" w:rsidRPr="00F731BA">
        <w:rPr>
          <w:color w:val="000000" w:themeColor="text1"/>
          <w:highlight w:val="white"/>
        </w:rPr>
        <w:t>(</w:t>
      </w:r>
      <w:r w:rsidRPr="00F731BA">
        <w:rPr>
          <w:color w:val="000000" w:themeColor="text1"/>
          <w:highlight w:val="white"/>
        </w:rPr>
        <w:t>2016</w:t>
      </w:r>
      <w:r w:rsidR="008A70DC" w:rsidRPr="00F731BA">
        <w:rPr>
          <w:color w:val="000000" w:themeColor="text1"/>
          <w:highlight w:val="white"/>
        </w:rPr>
        <w:t>)</w:t>
      </w:r>
      <w:r w:rsidRPr="00F731BA">
        <w:rPr>
          <w:color w:val="000000" w:themeColor="text1"/>
          <w:highlight w:val="white"/>
        </w:rPr>
        <w:t xml:space="preserve"> Mental health of </w:t>
      </w:r>
      <w:r w:rsidRPr="00F731BA">
        <w:rPr>
          <w:color w:val="000000" w:themeColor="text1"/>
          <w:highlight w:val="white"/>
        </w:rPr>
        <w:br/>
        <w:t xml:space="preserve"> </w:t>
      </w:r>
      <w:r w:rsidRPr="00F731BA">
        <w:rPr>
          <w:color w:val="000000" w:themeColor="text1"/>
          <w:highlight w:val="white"/>
        </w:rPr>
        <w:tab/>
        <w:t xml:space="preserve">transgender children who are supported in their identities. </w:t>
      </w:r>
      <w:r w:rsidRPr="00F731BA">
        <w:rPr>
          <w:i/>
          <w:color w:val="000000" w:themeColor="text1"/>
        </w:rPr>
        <w:t>Pediatrics</w:t>
      </w:r>
      <w:r w:rsidRPr="00F731BA">
        <w:rPr>
          <w:color w:val="000000" w:themeColor="text1"/>
          <w:highlight w:val="white"/>
        </w:rPr>
        <w:t xml:space="preserve"> </w:t>
      </w:r>
      <w:r w:rsidRPr="00F731BA">
        <w:rPr>
          <w:iCs/>
          <w:color w:val="000000" w:themeColor="text1"/>
        </w:rPr>
        <w:t>137</w:t>
      </w:r>
      <w:r w:rsidRPr="00F731BA">
        <w:rPr>
          <w:iCs/>
          <w:color w:val="000000" w:themeColor="text1"/>
          <w:highlight w:val="white"/>
        </w:rPr>
        <w:t>(3).</w:t>
      </w:r>
      <w:r w:rsidRPr="00F731BA">
        <w:rPr>
          <w:color w:val="000000" w:themeColor="text1"/>
        </w:rPr>
        <w:t xml:space="preserve"> </w:t>
      </w:r>
    </w:p>
    <w:p w14:paraId="44BC0E86" w14:textId="77777777" w:rsidR="000E03BE" w:rsidRPr="00F731BA" w:rsidRDefault="000E03BE" w:rsidP="001C6AF8">
      <w:pPr>
        <w:spacing w:line="240" w:lineRule="auto"/>
        <w:rPr>
          <w:color w:val="000000" w:themeColor="text1"/>
        </w:rPr>
      </w:pPr>
      <w:r w:rsidRPr="00F731BA">
        <w:rPr>
          <w:color w:val="000000" w:themeColor="text1"/>
        </w:rPr>
        <w:t xml:space="preserve"> </w:t>
      </w:r>
      <w:r w:rsidRPr="00F731BA">
        <w:rPr>
          <w:color w:val="000000" w:themeColor="text1"/>
        </w:rPr>
        <w:tab/>
        <w:t>Retrieved from: https://pediatrics.aappublications.org/content/pediatrics/137/3/e20153223.full.pdf</w:t>
      </w:r>
    </w:p>
    <w:p w14:paraId="7D85FF58" w14:textId="0813CAF8" w:rsidR="000E03BE" w:rsidRPr="00F731BA" w:rsidRDefault="000E03BE" w:rsidP="001C6AF8">
      <w:pPr>
        <w:widowControl w:val="0"/>
        <w:spacing w:line="240" w:lineRule="auto"/>
        <w:rPr>
          <w:color w:val="000000" w:themeColor="text1"/>
          <w:highlight w:val="white"/>
        </w:rPr>
      </w:pPr>
      <w:r w:rsidRPr="00F731BA">
        <w:rPr>
          <w:color w:val="000000" w:themeColor="text1"/>
          <w:highlight w:val="white"/>
        </w:rPr>
        <w:t>Olson</w:t>
      </w:r>
      <w:r w:rsidR="00937D73" w:rsidRPr="00F731BA">
        <w:rPr>
          <w:color w:val="000000" w:themeColor="text1"/>
          <w:highlight w:val="white"/>
        </w:rPr>
        <w:t xml:space="preserve"> </w:t>
      </w:r>
      <w:r w:rsidRPr="00F731BA">
        <w:rPr>
          <w:color w:val="000000" w:themeColor="text1"/>
          <w:highlight w:val="white"/>
        </w:rPr>
        <w:t>KR, Key</w:t>
      </w:r>
      <w:r w:rsidR="00937D73" w:rsidRPr="00F731BA">
        <w:rPr>
          <w:color w:val="000000" w:themeColor="text1"/>
          <w:highlight w:val="white"/>
        </w:rPr>
        <w:t xml:space="preserve"> </w:t>
      </w:r>
      <w:r w:rsidRPr="00F731BA">
        <w:rPr>
          <w:color w:val="000000" w:themeColor="text1"/>
          <w:highlight w:val="white"/>
        </w:rPr>
        <w:t>AC</w:t>
      </w:r>
      <w:r w:rsidR="00937D73" w:rsidRPr="00F731BA">
        <w:rPr>
          <w:color w:val="000000" w:themeColor="text1"/>
          <w:highlight w:val="white"/>
        </w:rPr>
        <w:t xml:space="preserve"> and </w:t>
      </w:r>
      <w:r w:rsidRPr="00F731BA">
        <w:rPr>
          <w:color w:val="000000" w:themeColor="text1"/>
          <w:highlight w:val="white"/>
        </w:rPr>
        <w:t xml:space="preserve">Eaton NR </w:t>
      </w:r>
      <w:r w:rsidR="008A70DC" w:rsidRPr="00F731BA">
        <w:rPr>
          <w:color w:val="000000" w:themeColor="text1"/>
          <w:highlight w:val="white"/>
        </w:rPr>
        <w:t>(</w:t>
      </w:r>
      <w:r w:rsidRPr="00F731BA">
        <w:rPr>
          <w:color w:val="000000" w:themeColor="text1"/>
          <w:highlight w:val="white"/>
        </w:rPr>
        <w:t>2015</w:t>
      </w:r>
      <w:r w:rsidR="008A70DC" w:rsidRPr="00F731BA">
        <w:rPr>
          <w:color w:val="000000" w:themeColor="text1"/>
          <w:highlight w:val="white"/>
        </w:rPr>
        <w:t>)</w:t>
      </w:r>
      <w:r w:rsidRPr="00F731BA">
        <w:rPr>
          <w:color w:val="000000" w:themeColor="text1"/>
          <w:highlight w:val="white"/>
        </w:rPr>
        <w:t xml:space="preserve"> Gender cognition in transgender children. </w:t>
      </w:r>
      <w:r w:rsidRPr="00F731BA">
        <w:rPr>
          <w:color w:val="000000" w:themeColor="text1"/>
          <w:highlight w:val="white"/>
        </w:rPr>
        <w:br/>
        <w:t xml:space="preserve"> </w:t>
      </w:r>
      <w:r w:rsidRPr="00F731BA">
        <w:rPr>
          <w:color w:val="000000" w:themeColor="text1"/>
          <w:highlight w:val="white"/>
        </w:rPr>
        <w:tab/>
      </w:r>
      <w:r w:rsidRPr="00F731BA">
        <w:rPr>
          <w:i/>
          <w:color w:val="000000" w:themeColor="text1"/>
          <w:highlight w:val="white"/>
        </w:rPr>
        <w:t>Psychological Science</w:t>
      </w:r>
      <w:r w:rsidRPr="00F731BA">
        <w:rPr>
          <w:color w:val="000000" w:themeColor="text1"/>
          <w:highlight w:val="white"/>
        </w:rPr>
        <w:t xml:space="preserve"> </w:t>
      </w:r>
      <w:r w:rsidRPr="00F731BA">
        <w:rPr>
          <w:iCs/>
          <w:color w:val="000000" w:themeColor="text1"/>
          <w:highlight w:val="white"/>
        </w:rPr>
        <w:t>26(4)</w:t>
      </w:r>
      <w:r w:rsidR="00937D73" w:rsidRPr="00F731BA">
        <w:rPr>
          <w:iCs/>
          <w:color w:val="000000" w:themeColor="text1"/>
          <w:highlight w:val="white"/>
        </w:rPr>
        <w:t>:</w:t>
      </w:r>
      <w:r w:rsidRPr="00F731BA">
        <w:rPr>
          <w:color w:val="000000" w:themeColor="text1"/>
          <w:highlight w:val="white"/>
        </w:rPr>
        <w:t xml:space="preserve"> 467-474.</w:t>
      </w:r>
    </w:p>
    <w:p w14:paraId="18A1DCEA" w14:textId="0F62D710" w:rsidR="000E03BE" w:rsidRPr="00F731BA" w:rsidRDefault="000E03BE" w:rsidP="001C6AF8">
      <w:pPr>
        <w:widowControl w:val="0"/>
        <w:spacing w:line="240" w:lineRule="auto"/>
        <w:ind w:left="708" w:hanging="690"/>
        <w:rPr>
          <w:color w:val="000000" w:themeColor="text1"/>
        </w:rPr>
      </w:pPr>
      <w:r w:rsidRPr="00F731BA">
        <w:rPr>
          <w:i/>
          <w:color w:val="000000" w:themeColor="text1"/>
        </w:rPr>
        <w:t>Ontario Human Rights Code</w:t>
      </w:r>
      <w:r w:rsidRPr="00F731BA">
        <w:rPr>
          <w:color w:val="000000" w:themeColor="text1"/>
        </w:rPr>
        <w:t xml:space="preserve">, RSO </w:t>
      </w:r>
      <w:r w:rsidR="008A70DC" w:rsidRPr="00F731BA">
        <w:rPr>
          <w:color w:val="000000" w:themeColor="text1"/>
        </w:rPr>
        <w:t>(</w:t>
      </w:r>
      <w:r w:rsidRPr="00F731BA">
        <w:rPr>
          <w:color w:val="000000" w:themeColor="text1"/>
        </w:rPr>
        <w:t>1990</w:t>
      </w:r>
      <w:r w:rsidR="008A70DC" w:rsidRPr="00F731BA">
        <w:rPr>
          <w:color w:val="000000" w:themeColor="text1"/>
        </w:rPr>
        <w:t>)</w:t>
      </w:r>
      <w:r w:rsidRPr="00F731BA">
        <w:rPr>
          <w:color w:val="000000" w:themeColor="text1"/>
        </w:rPr>
        <w:t xml:space="preserve"> c H 19.</w:t>
      </w:r>
    </w:p>
    <w:p w14:paraId="14A4BFEC" w14:textId="33C480F4" w:rsidR="000E03BE" w:rsidRPr="00F731BA" w:rsidRDefault="000E03BE" w:rsidP="001C6AF8">
      <w:pPr>
        <w:widowControl w:val="0"/>
        <w:spacing w:line="240" w:lineRule="auto"/>
        <w:ind w:left="708" w:hanging="690"/>
        <w:rPr>
          <w:color w:val="000000" w:themeColor="text1"/>
        </w:rPr>
      </w:pPr>
      <w:r w:rsidRPr="00F731BA">
        <w:rPr>
          <w:color w:val="000000" w:themeColor="text1"/>
        </w:rPr>
        <w:t xml:space="preserve">Ontario Human Rights Commission </w:t>
      </w:r>
      <w:r w:rsidR="008A70DC" w:rsidRPr="00F731BA">
        <w:rPr>
          <w:color w:val="000000" w:themeColor="text1"/>
        </w:rPr>
        <w:t>(</w:t>
      </w:r>
      <w:r w:rsidRPr="00F731BA">
        <w:rPr>
          <w:color w:val="000000" w:themeColor="text1"/>
        </w:rPr>
        <w:t>2008</w:t>
      </w:r>
      <w:r w:rsidR="008A70DC" w:rsidRPr="00F731BA">
        <w:rPr>
          <w:color w:val="000000" w:themeColor="text1"/>
        </w:rPr>
        <w:t>)</w:t>
      </w:r>
      <w:r w:rsidR="005C7097" w:rsidRPr="00F731BA">
        <w:rPr>
          <w:color w:val="000000" w:themeColor="text1"/>
        </w:rPr>
        <w:t xml:space="preserve"> </w:t>
      </w:r>
      <w:r w:rsidRPr="00F731BA">
        <w:rPr>
          <w:color w:val="000000" w:themeColor="text1"/>
        </w:rPr>
        <w:t xml:space="preserve">What is discrimination? In </w:t>
      </w:r>
      <w:r w:rsidRPr="00F731BA">
        <w:rPr>
          <w:i/>
          <w:color w:val="000000" w:themeColor="text1"/>
        </w:rPr>
        <w:t xml:space="preserve">Human rights at work </w:t>
      </w:r>
      <w:r w:rsidRPr="00F731BA">
        <w:rPr>
          <w:color w:val="000000" w:themeColor="text1"/>
        </w:rPr>
        <w:t>(3rd ed.; n.p.). Toronto, ON: Author. Retrieved from http://www.ohrc.on.ca/en/iii-principles-and-concepts/2-what-discrimination</w:t>
      </w:r>
    </w:p>
    <w:p w14:paraId="0F637C15" w14:textId="065717CD" w:rsidR="000E03BE" w:rsidRPr="00F731BA" w:rsidRDefault="000E03BE" w:rsidP="001C6AF8">
      <w:pPr>
        <w:widowControl w:val="0"/>
        <w:spacing w:line="240" w:lineRule="auto"/>
        <w:ind w:left="708" w:hanging="690"/>
        <w:rPr>
          <w:color w:val="000000" w:themeColor="text1"/>
        </w:rPr>
      </w:pPr>
      <w:r w:rsidRPr="00F731BA">
        <w:rPr>
          <w:color w:val="000000" w:themeColor="text1"/>
        </w:rPr>
        <w:t xml:space="preserve">Ontario Human Rights Commission </w:t>
      </w:r>
      <w:r w:rsidR="008A70DC" w:rsidRPr="00F731BA">
        <w:rPr>
          <w:color w:val="000000" w:themeColor="text1"/>
        </w:rPr>
        <w:t>(</w:t>
      </w:r>
      <w:r w:rsidRPr="00F731BA">
        <w:rPr>
          <w:color w:val="000000" w:themeColor="text1"/>
        </w:rPr>
        <w:t>2014</w:t>
      </w:r>
      <w:r w:rsidR="008A70DC" w:rsidRPr="00F731BA">
        <w:rPr>
          <w:color w:val="000000" w:themeColor="text1"/>
        </w:rPr>
        <w:t>)</w:t>
      </w:r>
      <w:r w:rsidR="005C7097" w:rsidRPr="00F731BA">
        <w:rPr>
          <w:color w:val="000000" w:themeColor="text1"/>
        </w:rPr>
        <w:t xml:space="preserve"> </w:t>
      </w:r>
      <w:r w:rsidRPr="00F731BA">
        <w:rPr>
          <w:i/>
          <w:color w:val="000000" w:themeColor="text1"/>
        </w:rPr>
        <w:t xml:space="preserve">Policy on preventing discrimination because of gender identity and gender expression. </w:t>
      </w:r>
      <w:r w:rsidRPr="00F731BA">
        <w:rPr>
          <w:color w:val="000000" w:themeColor="text1"/>
        </w:rPr>
        <w:t>Toronto, ON: Author. Retrieved from http://www.ohrc.on.ca/sites/default/files/Policy%20on%20preventing%20discrimination%20because%20of%20gender%20identity%20and%20gender%20expression.pdf</w:t>
      </w:r>
    </w:p>
    <w:p w14:paraId="769BDFB5" w14:textId="3782BD59" w:rsidR="000E03BE" w:rsidRPr="00F731BA" w:rsidRDefault="000E03BE" w:rsidP="001C6AF8">
      <w:pPr>
        <w:widowControl w:val="0"/>
        <w:spacing w:line="240" w:lineRule="auto"/>
        <w:ind w:left="708" w:hanging="708"/>
        <w:rPr>
          <w:color w:val="000000" w:themeColor="text1"/>
        </w:rPr>
      </w:pPr>
      <w:r w:rsidRPr="00F731BA">
        <w:rPr>
          <w:color w:val="000000" w:themeColor="text1"/>
          <w:highlight w:val="white"/>
        </w:rPr>
        <w:t>Paechter C</w:t>
      </w:r>
      <w:r w:rsidR="00937D73" w:rsidRPr="00F731BA">
        <w:rPr>
          <w:color w:val="000000" w:themeColor="text1"/>
          <w:highlight w:val="white"/>
        </w:rPr>
        <w:t xml:space="preserve"> </w:t>
      </w:r>
      <w:r w:rsidR="008A70DC" w:rsidRPr="00F731BA">
        <w:rPr>
          <w:color w:val="000000" w:themeColor="text1"/>
          <w:highlight w:val="white"/>
        </w:rPr>
        <w:t>(</w:t>
      </w:r>
      <w:r w:rsidRPr="00F731BA">
        <w:rPr>
          <w:color w:val="000000" w:themeColor="text1"/>
          <w:highlight w:val="white"/>
        </w:rPr>
        <w:t>2017</w:t>
      </w:r>
      <w:r w:rsidR="008A70DC" w:rsidRPr="00F731BA">
        <w:rPr>
          <w:color w:val="000000" w:themeColor="text1"/>
          <w:highlight w:val="white"/>
        </w:rPr>
        <w:t>)</w:t>
      </w:r>
      <w:r w:rsidRPr="00F731BA">
        <w:rPr>
          <w:color w:val="000000" w:themeColor="text1"/>
          <w:highlight w:val="white"/>
        </w:rPr>
        <w:t xml:space="preserve"> Young children, gender and the heterosexual matrix. </w:t>
      </w:r>
      <w:r w:rsidRPr="00F731BA">
        <w:rPr>
          <w:i/>
          <w:color w:val="000000" w:themeColor="text1"/>
        </w:rPr>
        <w:t>Discourse: Studies in the cultural politics of education</w:t>
      </w:r>
      <w:r w:rsidRPr="00F731BA">
        <w:rPr>
          <w:color w:val="000000" w:themeColor="text1"/>
          <w:highlight w:val="white"/>
        </w:rPr>
        <w:t xml:space="preserve"> </w:t>
      </w:r>
      <w:r w:rsidRPr="00F731BA">
        <w:rPr>
          <w:iCs/>
          <w:color w:val="000000" w:themeColor="text1"/>
        </w:rPr>
        <w:t>38</w:t>
      </w:r>
      <w:r w:rsidRPr="00F731BA">
        <w:rPr>
          <w:iCs/>
          <w:color w:val="000000" w:themeColor="text1"/>
          <w:highlight w:val="white"/>
        </w:rPr>
        <w:t>(2)</w:t>
      </w:r>
      <w:r w:rsidR="00937D73" w:rsidRPr="00F731BA">
        <w:rPr>
          <w:iCs/>
          <w:color w:val="000000" w:themeColor="text1"/>
          <w:highlight w:val="white"/>
        </w:rPr>
        <w:t>:</w:t>
      </w:r>
      <w:r w:rsidRPr="00F731BA">
        <w:rPr>
          <w:iCs/>
          <w:color w:val="000000" w:themeColor="text1"/>
          <w:highlight w:val="white"/>
        </w:rPr>
        <w:t xml:space="preserve"> 277-291</w:t>
      </w:r>
      <w:r w:rsidRPr="00F731BA">
        <w:rPr>
          <w:color w:val="000000" w:themeColor="text1"/>
          <w:highlight w:val="white"/>
        </w:rPr>
        <w:t>.</w:t>
      </w:r>
    </w:p>
    <w:p w14:paraId="54E217CA" w14:textId="6B1C4A02" w:rsidR="000E03BE" w:rsidRPr="00F731BA" w:rsidRDefault="000E03BE" w:rsidP="001C6AF8">
      <w:pPr>
        <w:widowControl w:val="0"/>
        <w:spacing w:line="240" w:lineRule="auto"/>
        <w:ind w:left="708" w:hanging="708"/>
        <w:rPr>
          <w:color w:val="000000" w:themeColor="text1"/>
        </w:rPr>
      </w:pPr>
      <w:r w:rsidRPr="00F731BA">
        <w:rPr>
          <w:color w:val="000000" w:themeColor="text1"/>
        </w:rPr>
        <w:t>Paris</w:t>
      </w:r>
      <w:r w:rsidR="00937D73" w:rsidRPr="00F731BA">
        <w:rPr>
          <w:color w:val="000000" w:themeColor="text1"/>
        </w:rPr>
        <w:t xml:space="preserve"> </w:t>
      </w:r>
      <w:r w:rsidRPr="00F731BA">
        <w:rPr>
          <w:color w:val="000000" w:themeColor="text1"/>
        </w:rPr>
        <w:t xml:space="preserve">D </w:t>
      </w:r>
      <w:r w:rsidR="008A70DC" w:rsidRPr="00F731BA">
        <w:rPr>
          <w:color w:val="000000" w:themeColor="text1"/>
        </w:rPr>
        <w:t>(</w:t>
      </w:r>
      <w:r w:rsidRPr="00F731BA">
        <w:rPr>
          <w:color w:val="000000" w:themeColor="text1"/>
        </w:rPr>
        <w:t>2012</w:t>
      </w:r>
      <w:r w:rsidR="008A70DC" w:rsidRPr="00F731BA">
        <w:rPr>
          <w:color w:val="000000" w:themeColor="text1"/>
        </w:rPr>
        <w:t>)</w:t>
      </w:r>
      <w:r w:rsidRPr="00F731BA">
        <w:rPr>
          <w:color w:val="000000" w:themeColor="text1"/>
        </w:rPr>
        <w:t xml:space="preserve"> Culturally sustaining pedagogy: A needed change in stance, terminology, and practice. </w:t>
      </w:r>
      <w:r w:rsidRPr="00F731BA">
        <w:rPr>
          <w:i/>
          <w:color w:val="000000" w:themeColor="text1"/>
        </w:rPr>
        <w:t xml:space="preserve">Educational Researcher </w:t>
      </w:r>
      <w:r w:rsidRPr="00F731BA">
        <w:rPr>
          <w:iCs/>
          <w:color w:val="000000" w:themeColor="text1"/>
        </w:rPr>
        <w:t>41(3)</w:t>
      </w:r>
      <w:r w:rsidR="00937D73" w:rsidRPr="00F731BA">
        <w:rPr>
          <w:iCs/>
          <w:color w:val="000000" w:themeColor="text1"/>
        </w:rPr>
        <w:t>:</w:t>
      </w:r>
      <w:r w:rsidRPr="00F731BA">
        <w:rPr>
          <w:color w:val="000000" w:themeColor="text1"/>
        </w:rPr>
        <w:t xml:space="preserve"> 93-97.</w:t>
      </w:r>
    </w:p>
    <w:p w14:paraId="00B79619" w14:textId="4772876A" w:rsidR="000E03BE" w:rsidRPr="00F731BA" w:rsidRDefault="000E03BE" w:rsidP="001C6AF8">
      <w:pPr>
        <w:widowControl w:val="0"/>
        <w:spacing w:line="240" w:lineRule="auto"/>
        <w:ind w:left="708" w:hanging="708"/>
        <w:rPr>
          <w:color w:val="000000" w:themeColor="text1"/>
        </w:rPr>
      </w:pPr>
      <w:r w:rsidRPr="00F731BA">
        <w:rPr>
          <w:color w:val="000000" w:themeColor="text1"/>
        </w:rPr>
        <w:t>Paris D</w:t>
      </w:r>
      <w:r w:rsidR="00937D73" w:rsidRPr="00F731BA">
        <w:rPr>
          <w:color w:val="000000" w:themeColor="text1"/>
        </w:rPr>
        <w:t xml:space="preserve"> and</w:t>
      </w:r>
      <w:r w:rsidR="00FB49DD" w:rsidRPr="00F731BA">
        <w:rPr>
          <w:color w:val="000000" w:themeColor="text1"/>
        </w:rPr>
        <w:t xml:space="preserve"> </w:t>
      </w:r>
      <w:r w:rsidRPr="00F731BA">
        <w:rPr>
          <w:color w:val="000000" w:themeColor="text1"/>
        </w:rPr>
        <w:t xml:space="preserve">Alim HS </w:t>
      </w:r>
      <w:r w:rsidR="008A70DC" w:rsidRPr="00F731BA">
        <w:rPr>
          <w:color w:val="000000" w:themeColor="text1"/>
        </w:rPr>
        <w:t>(</w:t>
      </w:r>
      <w:r w:rsidRPr="00F731BA">
        <w:rPr>
          <w:color w:val="000000" w:themeColor="text1"/>
        </w:rPr>
        <w:t>2014</w:t>
      </w:r>
      <w:r w:rsidR="008A70DC" w:rsidRPr="00F731BA">
        <w:rPr>
          <w:color w:val="000000" w:themeColor="text1"/>
        </w:rPr>
        <w:t>)</w:t>
      </w:r>
      <w:r w:rsidRPr="00F731BA">
        <w:rPr>
          <w:color w:val="000000" w:themeColor="text1"/>
        </w:rPr>
        <w:t xml:space="preserve"> What are we seeking to sustain through culturally sustaining pedagogy? A loving critique forward. </w:t>
      </w:r>
      <w:r w:rsidRPr="00F731BA">
        <w:rPr>
          <w:i/>
          <w:color w:val="000000" w:themeColor="text1"/>
        </w:rPr>
        <w:t>Harvard Educational Review</w:t>
      </w:r>
      <w:r w:rsidRPr="00F731BA">
        <w:rPr>
          <w:color w:val="000000" w:themeColor="text1"/>
        </w:rPr>
        <w:t xml:space="preserve"> </w:t>
      </w:r>
      <w:r w:rsidRPr="00F731BA">
        <w:rPr>
          <w:iCs/>
          <w:color w:val="000000" w:themeColor="text1"/>
        </w:rPr>
        <w:t>84(1)</w:t>
      </w:r>
      <w:r w:rsidR="00937D73" w:rsidRPr="00F731BA">
        <w:rPr>
          <w:iCs/>
          <w:color w:val="000000" w:themeColor="text1"/>
        </w:rPr>
        <w:t>:</w:t>
      </w:r>
      <w:r w:rsidRPr="00F731BA">
        <w:rPr>
          <w:color w:val="000000" w:themeColor="text1"/>
        </w:rPr>
        <w:t xml:space="preserve"> 85-100.</w:t>
      </w:r>
    </w:p>
    <w:p w14:paraId="66F877F4" w14:textId="56881B7D" w:rsidR="000E03BE" w:rsidRPr="00F731BA" w:rsidRDefault="000E03BE" w:rsidP="001C6AF8">
      <w:pPr>
        <w:widowControl w:val="0"/>
        <w:spacing w:line="240" w:lineRule="auto"/>
        <w:rPr>
          <w:color w:val="000000" w:themeColor="text1"/>
          <w:highlight w:val="white"/>
        </w:rPr>
      </w:pPr>
      <w:r w:rsidRPr="00F731BA">
        <w:rPr>
          <w:color w:val="000000" w:themeColor="text1"/>
          <w:highlight w:val="white"/>
        </w:rPr>
        <w:t xml:space="preserve">Pyne J </w:t>
      </w:r>
      <w:r w:rsidR="008A70DC" w:rsidRPr="00F731BA">
        <w:rPr>
          <w:color w:val="000000" w:themeColor="text1"/>
          <w:highlight w:val="white"/>
        </w:rPr>
        <w:t>(</w:t>
      </w:r>
      <w:r w:rsidRPr="00F731BA">
        <w:rPr>
          <w:color w:val="000000" w:themeColor="text1"/>
          <w:highlight w:val="white"/>
        </w:rPr>
        <w:t>2014</w:t>
      </w:r>
      <w:r w:rsidR="008A70DC" w:rsidRPr="00F731BA">
        <w:rPr>
          <w:color w:val="000000" w:themeColor="text1"/>
          <w:highlight w:val="white"/>
        </w:rPr>
        <w:t>)</w:t>
      </w:r>
      <w:r w:rsidRPr="00F731BA">
        <w:rPr>
          <w:color w:val="000000" w:themeColor="text1"/>
          <w:highlight w:val="white"/>
        </w:rPr>
        <w:t xml:space="preserve"> Gender independent kids: A paradigm shift in approaches to gender non-</w:t>
      </w:r>
      <w:r w:rsidRPr="00F731BA">
        <w:rPr>
          <w:color w:val="000000" w:themeColor="text1"/>
          <w:highlight w:val="white"/>
        </w:rPr>
        <w:br/>
        <w:t xml:space="preserve"> </w:t>
      </w:r>
      <w:r w:rsidRPr="00F731BA">
        <w:rPr>
          <w:color w:val="000000" w:themeColor="text1"/>
          <w:highlight w:val="white"/>
        </w:rPr>
        <w:tab/>
        <w:t xml:space="preserve">conforming children. </w:t>
      </w:r>
      <w:r w:rsidRPr="00F731BA">
        <w:rPr>
          <w:i/>
          <w:color w:val="000000" w:themeColor="text1"/>
          <w:highlight w:val="white"/>
        </w:rPr>
        <w:t xml:space="preserve">The Canadian Journal of Human Sexuality </w:t>
      </w:r>
      <w:r w:rsidRPr="00F731BA">
        <w:rPr>
          <w:iCs/>
          <w:color w:val="000000" w:themeColor="text1"/>
          <w:highlight w:val="white"/>
        </w:rPr>
        <w:t>23(1)</w:t>
      </w:r>
      <w:r w:rsidR="00937D73" w:rsidRPr="00F731BA">
        <w:rPr>
          <w:iCs/>
          <w:color w:val="000000" w:themeColor="text1"/>
          <w:highlight w:val="white"/>
        </w:rPr>
        <w:t>:</w:t>
      </w:r>
      <w:r w:rsidRPr="00F731BA">
        <w:rPr>
          <w:color w:val="000000" w:themeColor="text1"/>
          <w:highlight w:val="white"/>
        </w:rPr>
        <w:t xml:space="preserve"> 1-8.</w:t>
      </w:r>
    </w:p>
    <w:p w14:paraId="651EBDA4" w14:textId="0AF47A59" w:rsidR="000E03BE" w:rsidRPr="00F731BA" w:rsidRDefault="000E03BE" w:rsidP="001C6AF8">
      <w:pPr>
        <w:widowControl w:val="0"/>
        <w:spacing w:line="240" w:lineRule="auto"/>
        <w:rPr>
          <w:color w:val="000000" w:themeColor="text1"/>
          <w:highlight w:val="white"/>
        </w:rPr>
      </w:pPr>
      <w:r w:rsidRPr="00F731BA">
        <w:rPr>
          <w:color w:val="000000" w:themeColor="text1"/>
          <w:highlight w:val="white"/>
        </w:rPr>
        <w:t xml:space="preserve">Robinson KH </w:t>
      </w:r>
      <w:r w:rsidR="008A70DC" w:rsidRPr="00F731BA">
        <w:rPr>
          <w:color w:val="000000" w:themeColor="text1"/>
          <w:highlight w:val="white"/>
        </w:rPr>
        <w:t>(</w:t>
      </w:r>
      <w:r w:rsidRPr="00F731BA">
        <w:rPr>
          <w:color w:val="000000" w:themeColor="text1"/>
          <w:highlight w:val="white"/>
        </w:rPr>
        <w:t>2008</w:t>
      </w:r>
      <w:r w:rsidR="008A70DC" w:rsidRPr="00F731BA">
        <w:rPr>
          <w:color w:val="000000" w:themeColor="text1"/>
          <w:highlight w:val="white"/>
        </w:rPr>
        <w:t>)</w:t>
      </w:r>
      <w:r w:rsidRPr="00F731BA">
        <w:rPr>
          <w:color w:val="000000" w:themeColor="text1"/>
          <w:highlight w:val="white"/>
        </w:rPr>
        <w:t xml:space="preserve"> In the name of 'childhood innocence': A discursive exploration of the </w:t>
      </w:r>
      <w:r w:rsidRPr="00F731BA">
        <w:rPr>
          <w:color w:val="000000" w:themeColor="text1"/>
          <w:highlight w:val="white"/>
        </w:rPr>
        <w:br/>
        <w:t xml:space="preserve"> </w:t>
      </w:r>
      <w:r w:rsidRPr="00F731BA">
        <w:rPr>
          <w:color w:val="000000" w:themeColor="text1"/>
          <w:highlight w:val="white"/>
        </w:rPr>
        <w:tab/>
        <w:t xml:space="preserve">moral panic associated with childhood and sexuality. </w:t>
      </w:r>
      <w:r w:rsidRPr="00F731BA">
        <w:rPr>
          <w:i/>
          <w:color w:val="000000" w:themeColor="text1"/>
          <w:highlight w:val="white"/>
        </w:rPr>
        <w:t>Cultural Studies Review</w:t>
      </w:r>
      <w:r w:rsidRPr="00F731BA">
        <w:rPr>
          <w:color w:val="000000" w:themeColor="text1"/>
          <w:highlight w:val="white"/>
        </w:rPr>
        <w:t xml:space="preserve"> </w:t>
      </w:r>
      <w:r w:rsidRPr="00F731BA">
        <w:rPr>
          <w:iCs/>
          <w:color w:val="000000" w:themeColor="text1"/>
          <w:highlight w:val="white"/>
        </w:rPr>
        <w:t>14(2)</w:t>
      </w:r>
      <w:r w:rsidR="00CD6853" w:rsidRPr="00F731BA">
        <w:rPr>
          <w:iCs/>
          <w:color w:val="000000" w:themeColor="text1"/>
          <w:highlight w:val="white"/>
        </w:rPr>
        <w:t>:</w:t>
      </w:r>
      <w:r w:rsidRPr="00F731BA">
        <w:rPr>
          <w:color w:val="000000" w:themeColor="text1"/>
          <w:highlight w:val="white"/>
        </w:rPr>
        <w:t xml:space="preserve"> </w:t>
      </w:r>
      <w:r w:rsidRPr="00F731BA">
        <w:rPr>
          <w:color w:val="000000" w:themeColor="text1"/>
          <w:highlight w:val="white"/>
        </w:rPr>
        <w:br/>
        <w:t xml:space="preserve"> </w:t>
      </w:r>
      <w:r w:rsidRPr="00F731BA">
        <w:rPr>
          <w:color w:val="000000" w:themeColor="text1"/>
          <w:highlight w:val="white"/>
        </w:rPr>
        <w:tab/>
        <w:t>113-129.</w:t>
      </w:r>
    </w:p>
    <w:p w14:paraId="675E379C" w14:textId="218E4325" w:rsidR="000E03BE" w:rsidRPr="00F731BA" w:rsidRDefault="000E03BE" w:rsidP="001C6AF8">
      <w:pPr>
        <w:widowControl w:val="0"/>
        <w:spacing w:line="240" w:lineRule="auto"/>
        <w:rPr>
          <w:color w:val="000000" w:themeColor="text1"/>
          <w:highlight w:val="white"/>
        </w:rPr>
      </w:pPr>
      <w:r w:rsidRPr="00F731BA">
        <w:rPr>
          <w:color w:val="000000" w:themeColor="text1"/>
          <w:highlight w:val="white"/>
        </w:rPr>
        <w:t>Russell ST, Pollitt AM, Li G</w:t>
      </w:r>
      <w:r w:rsidR="00CD6853" w:rsidRPr="00F731BA">
        <w:rPr>
          <w:color w:val="000000" w:themeColor="text1"/>
          <w:highlight w:val="white"/>
        </w:rPr>
        <w:t xml:space="preserve"> and </w:t>
      </w:r>
      <w:r w:rsidRPr="00F731BA">
        <w:rPr>
          <w:color w:val="000000" w:themeColor="text1"/>
          <w:highlight w:val="white"/>
        </w:rPr>
        <w:t xml:space="preserve">Grossman AH </w:t>
      </w:r>
      <w:r w:rsidR="008A70DC" w:rsidRPr="00F731BA">
        <w:rPr>
          <w:color w:val="000000" w:themeColor="text1"/>
          <w:highlight w:val="white"/>
        </w:rPr>
        <w:t>(</w:t>
      </w:r>
      <w:r w:rsidRPr="00F731BA">
        <w:rPr>
          <w:color w:val="000000" w:themeColor="text1"/>
          <w:highlight w:val="white"/>
        </w:rPr>
        <w:t>2018</w:t>
      </w:r>
      <w:r w:rsidR="008A70DC" w:rsidRPr="00F731BA">
        <w:rPr>
          <w:color w:val="000000" w:themeColor="text1"/>
          <w:highlight w:val="white"/>
        </w:rPr>
        <w:t>)</w:t>
      </w:r>
      <w:r w:rsidRPr="00F731BA">
        <w:rPr>
          <w:color w:val="000000" w:themeColor="text1"/>
          <w:highlight w:val="white"/>
        </w:rPr>
        <w:t xml:space="preserve"> Chosen name use is linked to </w:t>
      </w:r>
      <w:r w:rsidRPr="00F731BA">
        <w:rPr>
          <w:color w:val="000000" w:themeColor="text1"/>
          <w:highlight w:val="white"/>
        </w:rPr>
        <w:br/>
        <w:t xml:space="preserve"> </w:t>
      </w:r>
      <w:r w:rsidRPr="00F731BA">
        <w:rPr>
          <w:color w:val="000000" w:themeColor="text1"/>
          <w:highlight w:val="white"/>
        </w:rPr>
        <w:tab/>
        <w:t xml:space="preserve">reduced depressive symptoms, suicidal ideation, and suicidal </w:t>
      </w:r>
      <w:r w:rsidR="005557C1" w:rsidRPr="00F731BA">
        <w:rPr>
          <w:color w:val="000000" w:themeColor="text1"/>
          <w:highlight w:val="white"/>
        </w:rPr>
        <w:t>behaviour</w:t>
      </w:r>
      <w:r w:rsidRPr="00F731BA">
        <w:rPr>
          <w:color w:val="000000" w:themeColor="text1"/>
          <w:highlight w:val="white"/>
        </w:rPr>
        <w:t xml:space="preserve"> among </w:t>
      </w:r>
      <w:r w:rsidRPr="00F731BA">
        <w:rPr>
          <w:color w:val="000000" w:themeColor="text1"/>
          <w:highlight w:val="white"/>
        </w:rPr>
        <w:br/>
        <w:t xml:space="preserve"> </w:t>
      </w:r>
      <w:r w:rsidRPr="00F731BA">
        <w:rPr>
          <w:color w:val="000000" w:themeColor="text1"/>
          <w:highlight w:val="white"/>
        </w:rPr>
        <w:tab/>
        <w:t xml:space="preserve">transgender youth. </w:t>
      </w:r>
      <w:r w:rsidRPr="00F731BA">
        <w:rPr>
          <w:i/>
          <w:color w:val="000000" w:themeColor="text1"/>
        </w:rPr>
        <w:t>Journal of Adolescent Health</w:t>
      </w:r>
      <w:r w:rsidRPr="00F731BA">
        <w:rPr>
          <w:color w:val="000000" w:themeColor="text1"/>
          <w:highlight w:val="white"/>
        </w:rPr>
        <w:t xml:space="preserve"> </w:t>
      </w:r>
      <w:r w:rsidRPr="00F731BA">
        <w:rPr>
          <w:iCs/>
          <w:color w:val="000000" w:themeColor="text1"/>
        </w:rPr>
        <w:t>63</w:t>
      </w:r>
      <w:r w:rsidRPr="00F731BA">
        <w:rPr>
          <w:iCs/>
          <w:color w:val="000000" w:themeColor="text1"/>
          <w:highlight w:val="white"/>
        </w:rPr>
        <w:t>(4)</w:t>
      </w:r>
      <w:r w:rsidR="00CD6853" w:rsidRPr="00F731BA">
        <w:rPr>
          <w:iCs/>
          <w:color w:val="000000" w:themeColor="text1"/>
          <w:highlight w:val="white"/>
        </w:rPr>
        <w:t>:</w:t>
      </w:r>
      <w:r w:rsidRPr="00F731BA">
        <w:rPr>
          <w:color w:val="000000" w:themeColor="text1"/>
          <w:highlight w:val="white"/>
        </w:rPr>
        <w:t xml:space="preserve"> 503-505.</w:t>
      </w:r>
    </w:p>
    <w:p w14:paraId="19EF6374" w14:textId="20FCA69F" w:rsidR="000E03BE" w:rsidRPr="00F731BA" w:rsidRDefault="000E03BE" w:rsidP="001C6AF8">
      <w:pPr>
        <w:widowControl w:val="0"/>
        <w:spacing w:line="240" w:lineRule="auto"/>
        <w:rPr>
          <w:color w:val="000000" w:themeColor="text1"/>
        </w:rPr>
      </w:pPr>
      <w:r w:rsidRPr="00F731BA">
        <w:rPr>
          <w:color w:val="000000" w:themeColor="text1"/>
        </w:rPr>
        <w:t xml:space="preserve">Stafford A </w:t>
      </w:r>
      <w:r w:rsidR="008A70DC" w:rsidRPr="00F731BA">
        <w:rPr>
          <w:color w:val="000000" w:themeColor="text1"/>
        </w:rPr>
        <w:t>(</w:t>
      </w:r>
      <w:r w:rsidRPr="00F731BA">
        <w:rPr>
          <w:color w:val="000000" w:themeColor="text1"/>
        </w:rPr>
        <w:t>2013</w:t>
      </w:r>
      <w:r w:rsidR="008A70DC" w:rsidRPr="00F731BA">
        <w:rPr>
          <w:color w:val="000000" w:themeColor="text1"/>
        </w:rPr>
        <w:t>)</w:t>
      </w:r>
      <w:r w:rsidRPr="00F731BA">
        <w:rPr>
          <w:color w:val="000000" w:themeColor="text1"/>
        </w:rPr>
        <w:t xml:space="preserve"> </w:t>
      </w:r>
      <w:r w:rsidRPr="00F731BA">
        <w:rPr>
          <w:i/>
          <w:color w:val="000000" w:themeColor="text1"/>
        </w:rPr>
        <w:t xml:space="preserve">‘Is it still a boy?’ Hetero/gender normativity in kindergarten </w:t>
      </w:r>
      <w:r w:rsidRPr="00F731BA">
        <w:rPr>
          <w:i/>
          <w:color w:val="000000" w:themeColor="text1"/>
        </w:rPr>
        <w:br/>
        <w:t xml:space="preserve"> </w:t>
      </w:r>
      <w:r w:rsidRPr="00F731BA">
        <w:rPr>
          <w:i/>
          <w:color w:val="000000" w:themeColor="text1"/>
        </w:rPr>
        <w:tab/>
      </w:r>
      <w:r w:rsidRPr="00F731BA">
        <w:rPr>
          <w:color w:val="000000" w:themeColor="text1"/>
        </w:rPr>
        <w:t xml:space="preserve">(Unpublished doctoral dissertation.) University of British Columbia: Vancouver, </w:t>
      </w:r>
      <w:r w:rsidRPr="00F731BA">
        <w:rPr>
          <w:color w:val="000000" w:themeColor="text1"/>
        </w:rPr>
        <w:br/>
        <w:t xml:space="preserve"> </w:t>
      </w:r>
      <w:r w:rsidRPr="00F731BA">
        <w:rPr>
          <w:color w:val="000000" w:themeColor="text1"/>
        </w:rPr>
        <w:tab/>
        <w:t>British Columbia. Retrieved from: http://circle.ubc.ca/handle/2429/45701</w:t>
      </w:r>
    </w:p>
    <w:p w14:paraId="0FC70D85" w14:textId="3C4BE778" w:rsidR="000E03BE" w:rsidRPr="00F731BA" w:rsidRDefault="000E03BE" w:rsidP="001C6AF8">
      <w:pPr>
        <w:widowControl w:val="0"/>
        <w:spacing w:line="240" w:lineRule="auto"/>
        <w:rPr>
          <w:color w:val="000000" w:themeColor="text1"/>
        </w:rPr>
      </w:pPr>
      <w:r w:rsidRPr="00F731BA">
        <w:rPr>
          <w:color w:val="000000" w:themeColor="text1"/>
        </w:rPr>
        <w:t xml:space="preserve">Stockton KB </w:t>
      </w:r>
      <w:r w:rsidR="008A70DC" w:rsidRPr="00F731BA">
        <w:rPr>
          <w:color w:val="000000" w:themeColor="text1"/>
        </w:rPr>
        <w:t>(</w:t>
      </w:r>
      <w:r w:rsidRPr="00F731BA">
        <w:rPr>
          <w:color w:val="000000" w:themeColor="text1"/>
        </w:rPr>
        <w:t>2009</w:t>
      </w:r>
      <w:r w:rsidR="008A70DC" w:rsidRPr="00F731BA">
        <w:rPr>
          <w:color w:val="000000" w:themeColor="text1"/>
        </w:rPr>
        <w:t>)</w:t>
      </w:r>
      <w:r w:rsidRPr="00F731BA">
        <w:rPr>
          <w:color w:val="000000" w:themeColor="text1"/>
        </w:rPr>
        <w:t xml:space="preserve"> </w:t>
      </w:r>
      <w:r w:rsidRPr="00F731BA">
        <w:rPr>
          <w:i/>
          <w:color w:val="000000" w:themeColor="text1"/>
        </w:rPr>
        <w:t>The queer child, or growing sideways in the twentieth century</w:t>
      </w:r>
      <w:r w:rsidRPr="00F731BA">
        <w:rPr>
          <w:color w:val="000000" w:themeColor="text1"/>
        </w:rPr>
        <w:t xml:space="preserve">. </w:t>
      </w:r>
      <w:r w:rsidRPr="00F731BA">
        <w:rPr>
          <w:color w:val="000000" w:themeColor="text1"/>
        </w:rPr>
        <w:br/>
        <w:t xml:space="preserve"> </w:t>
      </w:r>
      <w:r w:rsidRPr="00F731BA">
        <w:rPr>
          <w:color w:val="000000" w:themeColor="text1"/>
        </w:rPr>
        <w:tab/>
        <w:t>Durham, NC: Duke University Press.</w:t>
      </w:r>
    </w:p>
    <w:p w14:paraId="625E5984" w14:textId="1A04945F" w:rsidR="000E03BE" w:rsidRPr="00F731BA" w:rsidRDefault="000E03BE" w:rsidP="001C6AF8">
      <w:pPr>
        <w:widowControl w:val="0"/>
        <w:spacing w:line="240" w:lineRule="auto"/>
        <w:rPr>
          <w:color w:val="000000" w:themeColor="text1"/>
          <w:highlight w:val="white"/>
        </w:rPr>
      </w:pPr>
      <w:r w:rsidRPr="00F731BA">
        <w:rPr>
          <w:color w:val="000000" w:themeColor="text1"/>
          <w:highlight w:val="white"/>
        </w:rPr>
        <w:t>Taylor C</w:t>
      </w:r>
      <w:r w:rsidR="00CD6853" w:rsidRPr="00F731BA">
        <w:rPr>
          <w:color w:val="000000" w:themeColor="text1"/>
          <w:highlight w:val="white"/>
        </w:rPr>
        <w:t xml:space="preserve"> and</w:t>
      </w:r>
      <w:r w:rsidR="008A70DC" w:rsidRPr="00F731BA">
        <w:rPr>
          <w:color w:val="000000" w:themeColor="text1"/>
          <w:highlight w:val="white"/>
        </w:rPr>
        <w:t xml:space="preserve"> </w:t>
      </w:r>
      <w:r w:rsidRPr="00F731BA">
        <w:rPr>
          <w:color w:val="000000" w:themeColor="text1"/>
          <w:highlight w:val="white"/>
        </w:rPr>
        <w:t>Peter, T., with McMinn TL, Elliott T, Beldom</w:t>
      </w:r>
      <w:r w:rsidR="00CD6853" w:rsidRPr="00F731BA">
        <w:rPr>
          <w:color w:val="000000" w:themeColor="text1"/>
          <w:highlight w:val="white"/>
        </w:rPr>
        <w:t xml:space="preserve"> </w:t>
      </w:r>
      <w:r w:rsidRPr="00F731BA">
        <w:rPr>
          <w:color w:val="000000" w:themeColor="text1"/>
          <w:highlight w:val="white"/>
        </w:rPr>
        <w:t xml:space="preserve">S, Ferry A, Gross Z, </w:t>
      </w:r>
      <w:r w:rsidRPr="00F731BA">
        <w:rPr>
          <w:color w:val="000000" w:themeColor="text1"/>
          <w:highlight w:val="white"/>
        </w:rPr>
        <w:br/>
        <w:t xml:space="preserve"> </w:t>
      </w:r>
      <w:r w:rsidRPr="00F731BA">
        <w:rPr>
          <w:color w:val="000000" w:themeColor="text1"/>
          <w:highlight w:val="white"/>
        </w:rPr>
        <w:tab/>
        <w:t>Paquin S</w:t>
      </w:r>
      <w:r w:rsidR="00CD6853" w:rsidRPr="00F731BA">
        <w:rPr>
          <w:color w:val="000000" w:themeColor="text1"/>
          <w:highlight w:val="white"/>
        </w:rPr>
        <w:t xml:space="preserve"> and</w:t>
      </w:r>
      <w:r w:rsidRPr="00F731BA">
        <w:rPr>
          <w:color w:val="000000" w:themeColor="text1"/>
          <w:highlight w:val="white"/>
        </w:rPr>
        <w:t xml:space="preserve"> Schachter K </w:t>
      </w:r>
      <w:r w:rsidR="008A70DC" w:rsidRPr="00F731BA">
        <w:rPr>
          <w:color w:val="000000" w:themeColor="text1"/>
          <w:highlight w:val="white"/>
        </w:rPr>
        <w:t>(</w:t>
      </w:r>
      <w:r w:rsidRPr="00F731BA">
        <w:rPr>
          <w:color w:val="000000" w:themeColor="text1"/>
          <w:highlight w:val="white"/>
        </w:rPr>
        <w:t>2011</w:t>
      </w:r>
      <w:r w:rsidR="008A70DC" w:rsidRPr="00F731BA">
        <w:rPr>
          <w:color w:val="000000" w:themeColor="text1"/>
          <w:highlight w:val="white"/>
        </w:rPr>
        <w:t>)</w:t>
      </w:r>
      <w:r w:rsidRPr="00F731BA">
        <w:rPr>
          <w:color w:val="000000" w:themeColor="text1"/>
          <w:highlight w:val="white"/>
        </w:rPr>
        <w:t xml:space="preserve"> </w:t>
      </w:r>
      <w:r w:rsidRPr="00F731BA">
        <w:rPr>
          <w:i/>
          <w:color w:val="000000" w:themeColor="text1"/>
          <w:highlight w:val="white"/>
        </w:rPr>
        <w:t xml:space="preserve">Every class in every school: The first national </w:t>
      </w:r>
      <w:r w:rsidRPr="00F731BA">
        <w:rPr>
          <w:i/>
          <w:color w:val="000000" w:themeColor="text1"/>
          <w:highlight w:val="white"/>
        </w:rPr>
        <w:br/>
        <w:t xml:space="preserve"> </w:t>
      </w:r>
      <w:r w:rsidRPr="00F731BA">
        <w:rPr>
          <w:i/>
          <w:color w:val="000000" w:themeColor="text1"/>
          <w:highlight w:val="white"/>
        </w:rPr>
        <w:tab/>
        <w:t xml:space="preserve">climate survey on homophobia, biphobia, and transphobia in Canadian schools. Final </w:t>
      </w:r>
      <w:r w:rsidRPr="00F731BA">
        <w:rPr>
          <w:i/>
          <w:color w:val="000000" w:themeColor="text1"/>
          <w:highlight w:val="white"/>
        </w:rPr>
        <w:br/>
        <w:t xml:space="preserve"> </w:t>
      </w:r>
      <w:r w:rsidRPr="00F731BA">
        <w:rPr>
          <w:i/>
          <w:color w:val="000000" w:themeColor="text1"/>
          <w:highlight w:val="white"/>
        </w:rPr>
        <w:tab/>
        <w:t>report</w:t>
      </w:r>
      <w:r w:rsidRPr="00F731BA">
        <w:rPr>
          <w:color w:val="000000" w:themeColor="text1"/>
          <w:highlight w:val="white"/>
        </w:rPr>
        <w:t>. Toronto, ON: Egale Canada Human Rights Trust.</w:t>
      </w:r>
    </w:p>
    <w:p w14:paraId="589D119E" w14:textId="1CECE2CC" w:rsidR="000E03BE" w:rsidRPr="00F731BA" w:rsidRDefault="000E03BE" w:rsidP="001C6AF8">
      <w:pPr>
        <w:widowControl w:val="0"/>
        <w:spacing w:line="240" w:lineRule="auto"/>
        <w:rPr>
          <w:color w:val="000000" w:themeColor="text1"/>
          <w:highlight w:val="white"/>
        </w:rPr>
      </w:pPr>
      <w:r w:rsidRPr="00F731BA">
        <w:rPr>
          <w:color w:val="000000" w:themeColor="text1"/>
          <w:highlight w:val="white"/>
        </w:rPr>
        <w:t xml:space="preserve">Thorne B </w:t>
      </w:r>
      <w:r w:rsidR="008A70DC" w:rsidRPr="00F731BA">
        <w:rPr>
          <w:color w:val="000000" w:themeColor="text1"/>
          <w:highlight w:val="white"/>
        </w:rPr>
        <w:t>(</w:t>
      </w:r>
      <w:r w:rsidRPr="00F731BA">
        <w:rPr>
          <w:color w:val="000000" w:themeColor="text1"/>
          <w:highlight w:val="white"/>
        </w:rPr>
        <w:t>1993</w:t>
      </w:r>
      <w:r w:rsidR="008A70DC" w:rsidRPr="00F731BA">
        <w:rPr>
          <w:color w:val="000000" w:themeColor="text1"/>
          <w:highlight w:val="white"/>
        </w:rPr>
        <w:t>)</w:t>
      </w:r>
      <w:r w:rsidRPr="00F731BA">
        <w:rPr>
          <w:color w:val="000000" w:themeColor="text1"/>
          <w:highlight w:val="white"/>
        </w:rPr>
        <w:t xml:space="preserve"> </w:t>
      </w:r>
      <w:r w:rsidRPr="00F731BA">
        <w:rPr>
          <w:i/>
          <w:color w:val="000000" w:themeColor="text1"/>
          <w:highlight w:val="white"/>
        </w:rPr>
        <w:t>Gender play: Girls and boys in school</w:t>
      </w:r>
      <w:r w:rsidRPr="00F731BA">
        <w:rPr>
          <w:color w:val="000000" w:themeColor="text1"/>
          <w:highlight w:val="white"/>
        </w:rPr>
        <w:t xml:space="preserve">. New Brunswick, NJ: Rutgers </w:t>
      </w:r>
      <w:r w:rsidRPr="00F731BA">
        <w:rPr>
          <w:color w:val="000000" w:themeColor="text1"/>
          <w:highlight w:val="white"/>
        </w:rPr>
        <w:br/>
        <w:t xml:space="preserve"> </w:t>
      </w:r>
      <w:r w:rsidRPr="00F731BA">
        <w:rPr>
          <w:color w:val="000000" w:themeColor="text1"/>
          <w:highlight w:val="white"/>
        </w:rPr>
        <w:tab/>
        <w:t>University Press.</w:t>
      </w:r>
    </w:p>
    <w:p w14:paraId="1A33461F" w14:textId="7108A997" w:rsidR="000E03BE" w:rsidRPr="00F731BA" w:rsidRDefault="000E03BE" w:rsidP="001C6AF8">
      <w:pPr>
        <w:widowControl w:val="0"/>
        <w:spacing w:line="240" w:lineRule="auto"/>
        <w:rPr>
          <w:color w:val="000000" w:themeColor="text1"/>
        </w:rPr>
      </w:pPr>
      <w:r w:rsidRPr="00F731BA">
        <w:rPr>
          <w:color w:val="000000" w:themeColor="text1"/>
          <w:highlight w:val="white"/>
        </w:rPr>
        <w:t>Turban JL</w:t>
      </w:r>
      <w:r w:rsidR="00CD6853" w:rsidRPr="00F731BA">
        <w:rPr>
          <w:color w:val="000000" w:themeColor="text1"/>
          <w:highlight w:val="white"/>
        </w:rPr>
        <w:t xml:space="preserve"> and </w:t>
      </w:r>
      <w:r w:rsidRPr="00F731BA">
        <w:rPr>
          <w:color w:val="000000" w:themeColor="text1"/>
          <w:highlight w:val="white"/>
        </w:rPr>
        <w:t>Ehrensaft D</w:t>
      </w:r>
      <w:r w:rsidR="00CD6853" w:rsidRPr="00F731BA">
        <w:rPr>
          <w:color w:val="000000" w:themeColor="text1"/>
          <w:highlight w:val="white"/>
        </w:rPr>
        <w:t xml:space="preserve"> </w:t>
      </w:r>
      <w:r w:rsidR="008A70DC" w:rsidRPr="00F731BA">
        <w:rPr>
          <w:color w:val="000000" w:themeColor="text1"/>
          <w:highlight w:val="white"/>
        </w:rPr>
        <w:t>(</w:t>
      </w:r>
      <w:r w:rsidRPr="00F731BA">
        <w:rPr>
          <w:color w:val="000000" w:themeColor="text1"/>
          <w:highlight w:val="white"/>
        </w:rPr>
        <w:t>2018</w:t>
      </w:r>
      <w:r w:rsidR="008A70DC" w:rsidRPr="00F731BA">
        <w:rPr>
          <w:color w:val="000000" w:themeColor="text1"/>
          <w:highlight w:val="white"/>
        </w:rPr>
        <w:t>)</w:t>
      </w:r>
      <w:r w:rsidRPr="00F731BA">
        <w:rPr>
          <w:color w:val="000000" w:themeColor="text1"/>
          <w:highlight w:val="white"/>
        </w:rPr>
        <w:t xml:space="preserve"> Research review - Gender identity in youth: Treatment </w:t>
      </w:r>
      <w:r w:rsidRPr="00F731BA">
        <w:rPr>
          <w:color w:val="000000" w:themeColor="text1"/>
          <w:highlight w:val="white"/>
        </w:rPr>
        <w:br/>
        <w:t xml:space="preserve"> </w:t>
      </w:r>
      <w:r w:rsidRPr="00F731BA">
        <w:rPr>
          <w:color w:val="000000" w:themeColor="text1"/>
          <w:highlight w:val="white"/>
        </w:rPr>
        <w:tab/>
        <w:t xml:space="preserve">paradigms and controversies. </w:t>
      </w:r>
      <w:r w:rsidRPr="00F731BA">
        <w:rPr>
          <w:i/>
          <w:color w:val="000000" w:themeColor="text1"/>
        </w:rPr>
        <w:t>Journal of Child Psychology and Psychiatry</w:t>
      </w:r>
      <w:r w:rsidRPr="00F731BA">
        <w:rPr>
          <w:color w:val="000000" w:themeColor="text1"/>
          <w:highlight w:val="white"/>
        </w:rPr>
        <w:t xml:space="preserve"> </w:t>
      </w:r>
      <w:r w:rsidRPr="00F731BA">
        <w:rPr>
          <w:iCs/>
          <w:color w:val="000000" w:themeColor="text1"/>
        </w:rPr>
        <w:t>59</w:t>
      </w:r>
      <w:r w:rsidRPr="00F731BA">
        <w:rPr>
          <w:iCs/>
          <w:color w:val="000000" w:themeColor="text1"/>
          <w:highlight w:val="white"/>
        </w:rPr>
        <w:t>(12)</w:t>
      </w:r>
      <w:r w:rsidR="00CD6853" w:rsidRPr="00F731BA">
        <w:rPr>
          <w:iCs/>
          <w:color w:val="000000" w:themeColor="text1"/>
          <w:highlight w:val="white"/>
        </w:rPr>
        <w:t>:</w:t>
      </w:r>
      <w:r w:rsidRPr="00F731BA">
        <w:rPr>
          <w:color w:val="000000" w:themeColor="text1"/>
          <w:highlight w:val="white"/>
        </w:rPr>
        <w:t xml:space="preserve"> </w:t>
      </w:r>
      <w:r w:rsidRPr="00F731BA">
        <w:rPr>
          <w:color w:val="000000" w:themeColor="text1"/>
          <w:highlight w:val="white"/>
        </w:rPr>
        <w:br/>
        <w:t xml:space="preserve"> </w:t>
      </w:r>
      <w:r w:rsidRPr="00F731BA">
        <w:rPr>
          <w:color w:val="000000" w:themeColor="text1"/>
          <w:highlight w:val="white"/>
        </w:rPr>
        <w:tab/>
        <w:t>1228-1243.</w:t>
      </w:r>
    </w:p>
    <w:p w14:paraId="2B92A588" w14:textId="00C10E9E" w:rsidR="000E03BE" w:rsidRPr="00F731BA" w:rsidRDefault="000E03BE" w:rsidP="001C6AF8">
      <w:pPr>
        <w:widowControl w:val="0"/>
        <w:spacing w:line="240" w:lineRule="auto"/>
        <w:rPr>
          <w:color w:val="000000" w:themeColor="text1"/>
        </w:rPr>
      </w:pPr>
      <w:r w:rsidRPr="00F731BA">
        <w:rPr>
          <w:color w:val="000000" w:themeColor="text1"/>
        </w:rPr>
        <w:t xml:space="preserve">Wohlwend KE </w:t>
      </w:r>
      <w:r w:rsidR="008A70DC" w:rsidRPr="00F731BA">
        <w:rPr>
          <w:color w:val="000000" w:themeColor="text1"/>
        </w:rPr>
        <w:t>(</w:t>
      </w:r>
      <w:r w:rsidRPr="00F731BA">
        <w:rPr>
          <w:color w:val="000000" w:themeColor="text1"/>
        </w:rPr>
        <w:t>2009</w:t>
      </w:r>
      <w:r w:rsidR="008A70DC" w:rsidRPr="00F731BA">
        <w:rPr>
          <w:color w:val="000000" w:themeColor="text1"/>
        </w:rPr>
        <w:t>)</w:t>
      </w:r>
      <w:r w:rsidRPr="00F731BA">
        <w:rPr>
          <w:color w:val="000000" w:themeColor="text1"/>
        </w:rPr>
        <w:t xml:space="preserve"> Damsels in discourse: Girls consuming and producing identity text </w:t>
      </w:r>
      <w:r w:rsidRPr="00F731BA">
        <w:rPr>
          <w:color w:val="000000" w:themeColor="text1"/>
        </w:rPr>
        <w:br/>
        <w:t xml:space="preserve"> </w:t>
      </w:r>
      <w:r w:rsidRPr="00F731BA">
        <w:rPr>
          <w:color w:val="000000" w:themeColor="text1"/>
        </w:rPr>
        <w:tab/>
        <w:t xml:space="preserve">through Disney princess play. </w:t>
      </w:r>
      <w:r w:rsidRPr="00F731BA">
        <w:rPr>
          <w:i/>
          <w:color w:val="000000" w:themeColor="text1"/>
        </w:rPr>
        <w:t xml:space="preserve">Reading Research Quarterly </w:t>
      </w:r>
      <w:r w:rsidRPr="00F731BA">
        <w:rPr>
          <w:iCs/>
          <w:color w:val="000000" w:themeColor="text1"/>
        </w:rPr>
        <w:t>44(1)</w:t>
      </w:r>
      <w:r w:rsidR="00CD6853" w:rsidRPr="00F731BA">
        <w:rPr>
          <w:iCs/>
          <w:color w:val="000000" w:themeColor="text1"/>
        </w:rPr>
        <w:t>:</w:t>
      </w:r>
      <w:r w:rsidRPr="00F731BA">
        <w:rPr>
          <w:iCs/>
          <w:color w:val="000000" w:themeColor="text1"/>
        </w:rPr>
        <w:t xml:space="preserve"> </w:t>
      </w:r>
      <w:r w:rsidRPr="00F731BA">
        <w:rPr>
          <w:color w:val="000000" w:themeColor="text1"/>
        </w:rPr>
        <w:t>57-83.</w:t>
      </w:r>
    </w:p>
    <w:p w14:paraId="33E51372" w14:textId="77777777" w:rsidR="00FE4713" w:rsidRPr="00F731BA" w:rsidRDefault="00FE4713" w:rsidP="0080308E">
      <w:pPr>
        <w:pStyle w:val="Figurecaption"/>
        <w:rPr>
          <w:color w:val="000000" w:themeColor="text1"/>
        </w:rPr>
      </w:pPr>
    </w:p>
    <w:sectPr w:rsidR="00FE4713" w:rsidRPr="00F731BA" w:rsidSect="00F42BFF">
      <w:headerReference w:type="even" r:id="rId9"/>
      <w:headerReference w:type="default" r:id="rId10"/>
      <w:footerReference w:type="even" r:id="rId11"/>
      <w:footerReference w:type="default" r:id="rId12"/>
      <w:headerReference w:type="first" r:id="rId13"/>
      <w:footerReference w:type="first" r:id="rId14"/>
      <w:pgSz w:w="11901"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2DDEA" w14:textId="77777777" w:rsidR="00B55022" w:rsidRDefault="00B55022" w:rsidP="00AF2C92">
      <w:r>
        <w:separator/>
      </w:r>
    </w:p>
  </w:endnote>
  <w:endnote w:type="continuationSeparator" w:id="0">
    <w:p w14:paraId="640BC904" w14:textId="77777777" w:rsidR="00B55022" w:rsidRDefault="00B55022"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01BA9" w14:textId="77777777" w:rsidR="005F1486" w:rsidRDefault="005F1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57390" w14:textId="77777777" w:rsidR="005F1486" w:rsidRDefault="005F14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1458D" w14:textId="77777777" w:rsidR="005F1486" w:rsidRDefault="005F1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51630" w14:textId="77777777" w:rsidR="00B55022" w:rsidRDefault="00B55022" w:rsidP="00AF2C92">
      <w:r>
        <w:separator/>
      </w:r>
    </w:p>
  </w:footnote>
  <w:footnote w:type="continuationSeparator" w:id="0">
    <w:p w14:paraId="73C0225B" w14:textId="77777777" w:rsidR="00B55022" w:rsidRDefault="00B55022" w:rsidP="00AF2C92">
      <w:r>
        <w:continuationSeparator/>
      </w:r>
    </w:p>
  </w:footnote>
  <w:footnote w:id="1">
    <w:p w14:paraId="0C986F6E" w14:textId="3D1F3BCC" w:rsidR="00FB49DD" w:rsidRPr="00FE03A6" w:rsidRDefault="00FB49DD" w:rsidP="00B627E0">
      <w:pPr>
        <w:spacing w:line="240" w:lineRule="auto"/>
        <w:rPr>
          <w:color w:val="000000" w:themeColor="text1"/>
          <w:sz w:val="20"/>
          <w:szCs w:val="20"/>
        </w:rPr>
      </w:pPr>
      <w:r w:rsidRPr="000F6161">
        <w:rPr>
          <w:sz w:val="20"/>
          <w:szCs w:val="20"/>
          <w:vertAlign w:val="superscript"/>
        </w:rPr>
        <w:footnoteRef/>
      </w:r>
      <w:r w:rsidRPr="000F6161">
        <w:rPr>
          <w:sz w:val="20"/>
          <w:szCs w:val="20"/>
        </w:rPr>
        <w:t xml:space="preserve"> A transgender adult or adolescent entering an early years space because, for example, they are the parent/guardian or other family member of an enrolled child could easily experience gender identity discrimination of the kind described in this paragraph. It is vital for early years educators to welcome and support children’s family </w:t>
      </w:r>
      <w:r w:rsidRPr="00FE03A6">
        <w:rPr>
          <w:color w:val="000000" w:themeColor="text1"/>
          <w:sz w:val="20"/>
          <w:szCs w:val="20"/>
        </w:rPr>
        <w:t>members.</w:t>
      </w:r>
    </w:p>
  </w:footnote>
  <w:footnote w:id="2">
    <w:p w14:paraId="4EF77E2A" w14:textId="0D806A25" w:rsidR="00FB49DD" w:rsidRPr="00644661" w:rsidRDefault="00FB49DD" w:rsidP="00B627E0">
      <w:pPr>
        <w:pStyle w:val="FootnoteText"/>
        <w:spacing w:line="240" w:lineRule="auto"/>
        <w:ind w:left="0" w:firstLine="0"/>
        <w:rPr>
          <w:lang w:val="en-US"/>
        </w:rPr>
      </w:pPr>
      <w:r w:rsidRPr="00FE03A6">
        <w:rPr>
          <w:rStyle w:val="FootnoteReference"/>
          <w:color w:val="000000" w:themeColor="text1"/>
          <w:sz w:val="20"/>
        </w:rPr>
        <w:footnoteRef/>
      </w:r>
      <w:r w:rsidR="000F6161" w:rsidRPr="00FE03A6">
        <w:rPr>
          <w:color w:val="000000" w:themeColor="text1"/>
          <w:sz w:val="20"/>
        </w:rPr>
        <w:t xml:space="preserve"> </w:t>
      </w:r>
      <w:r w:rsidRPr="00FE03A6">
        <w:rPr>
          <w:color w:val="000000" w:themeColor="text1"/>
          <w:sz w:val="20"/>
        </w:rPr>
        <w:t xml:space="preserve">We have placed </w:t>
      </w:r>
      <w:r w:rsidR="00880FAD" w:rsidRPr="00FE03A6">
        <w:rPr>
          <w:color w:val="000000" w:themeColor="text1"/>
          <w:sz w:val="20"/>
        </w:rPr>
        <w:t>“</w:t>
      </w:r>
      <w:r w:rsidRPr="00FE03A6">
        <w:rPr>
          <w:color w:val="000000" w:themeColor="text1"/>
          <w:sz w:val="20"/>
        </w:rPr>
        <w:t>gender-based</w:t>
      </w:r>
      <w:r w:rsidR="00880FAD" w:rsidRPr="00FE03A6">
        <w:rPr>
          <w:color w:val="000000" w:themeColor="text1"/>
          <w:sz w:val="20"/>
        </w:rPr>
        <w:t>”</w:t>
      </w:r>
      <w:r w:rsidRPr="00FE03A6">
        <w:rPr>
          <w:color w:val="000000" w:themeColor="text1"/>
          <w:sz w:val="20"/>
        </w:rPr>
        <w:t xml:space="preserve"> in scare quotes here to index how </w:t>
      </w:r>
      <w:r w:rsidR="00880FAD" w:rsidRPr="00FE03A6">
        <w:rPr>
          <w:color w:val="000000" w:themeColor="text1"/>
          <w:sz w:val="20"/>
        </w:rPr>
        <w:t>“</w:t>
      </w:r>
      <w:r w:rsidRPr="00FE03A6">
        <w:rPr>
          <w:color w:val="000000" w:themeColor="text1"/>
          <w:sz w:val="20"/>
        </w:rPr>
        <w:t>gender-based</w:t>
      </w:r>
      <w:r w:rsidR="00880FAD" w:rsidRPr="00FE03A6">
        <w:rPr>
          <w:color w:val="000000" w:themeColor="text1"/>
          <w:sz w:val="20"/>
        </w:rPr>
        <w:t>”</w:t>
      </w:r>
      <w:r w:rsidRPr="00FE03A6">
        <w:rPr>
          <w:color w:val="000000" w:themeColor="text1"/>
          <w:sz w:val="20"/>
        </w:rPr>
        <w:t xml:space="preserve"> divisions of children, and their enforcement are generally not based on </w:t>
      </w:r>
      <w:r w:rsidR="0063117E" w:rsidRPr="00FE03A6">
        <w:rPr>
          <w:color w:val="000000" w:themeColor="text1"/>
          <w:sz w:val="20"/>
        </w:rPr>
        <w:t xml:space="preserve">a </w:t>
      </w:r>
      <w:r w:rsidRPr="00FE03A6">
        <w:rPr>
          <w:color w:val="000000" w:themeColor="text1"/>
          <w:sz w:val="20"/>
        </w:rPr>
        <w:t>child’s internal sense of themsel</w:t>
      </w:r>
      <w:r w:rsidR="0063117E" w:rsidRPr="00FE03A6">
        <w:rPr>
          <w:color w:val="000000" w:themeColor="text1"/>
          <w:sz w:val="20"/>
        </w:rPr>
        <w:t>f</w:t>
      </w:r>
      <w:r w:rsidRPr="00FE03A6">
        <w:rPr>
          <w:color w:val="000000" w:themeColor="text1"/>
          <w:sz w:val="20"/>
        </w:rPr>
        <w:t xml:space="preserve"> (i.e., their gender identity), but on assumptions related to their assigned sex.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F900A" w14:textId="77777777" w:rsidR="005F1486" w:rsidRDefault="005F14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C3F6F" w14:textId="77777777" w:rsidR="005F1486" w:rsidRDefault="005F14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9E5AA" w14:textId="77777777" w:rsidR="005F1486" w:rsidRDefault="005F14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54AB6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022E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3626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CD2D8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77869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B45F72"/>
    <w:multiLevelType w:val="multilevel"/>
    <w:tmpl w:val="BA9C8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91208C7"/>
    <w:multiLevelType w:val="multilevel"/>
    <w:tmpl w:val="F3F23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ABC4ABA"/>
    <w:multiLevelType w:val="multilevel"/>
    <w:tmpl w:val="FC5E6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B4134B5"/>
    <w:multiLevelType w:val="hybridMultilevel"/>
    <w:tmpl w:val="A1D4CF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F830D42"/>
    <w:multiLevelType w:val="multilevel"/>
    <w:tmpl w:val="7C205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07418"/>
    <w:multiLevelType w:val="multilevel"/>
    <w:tmpl w:val="1ADCC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CA901FA"/>
    <w:multiLevelType w:val="multilevel"/>
    <w:tmpl w:val="0EF8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E266C32"/>
    <w:multiLevelType w:val="multilevel"/>
    <w:tmpl w:val="2528D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17C7823"/>
    <w:multiLevelType w:val="hybridMultilevel"/>
    <w:tmpl w:val="2DA8F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BD4C6B"/>
    <w:multiLevelType w:val="multilevel"/>
    <w:tmpl w:val="BD0AB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570A75"/>
    <w:multiLevelType w:val="hybridMultilevel"/>
    <w:tmpl w:val="993CF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5D6489"/>
    <w:multiLevelType w:val="multilevel"/>
    <w:tmpl w:val="2BFA88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EDD05FD"/>
    <w:multiLevelType w:val="multilevel"/>
    <w:tmpl w:val="DE3E90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F82181"/>
    <w:multiLevelType w:val="multilevel"/>
    <w:tmpl w:val="055E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19215C"/>
    <w:multiLevelType w:val="multilevel"/>
    <w:tmpl w:val="5D7A904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42510FF"/>
    <w:multiLevelType w:val="multilevel"/>
    <w:tmpl w:val="6C9AB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CF63D38"/>
    <w:multiLevelType w:val="multilevel"/>
    <w:tmpl w:val="83FCD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2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4"/>
  </w:num>
  <w:num w:numId="14">
    <w:abstractNumId w:val="30"/>
  </w:num>
  <w:num w:numId="15">
    <w:abstractNumId w:val="19"/>
  </w:num>
  <w:num w:numId="16">
    <w:abstractNumId w:val="23"/>
  </w:num>
  <w:num w:numId="17">
    <w:abstractNumId w:val="11"/>
  </w:num>
  <w:num w:numId="18">
    <w:abstractNumId w:val="0"/>
  </w:num>
  <w:num w:numId="19">
    <w:abstractNumId w:val="12"/>
  </w:num>
  <w:num w:numId="20">
    <w:abstractNumId w:val="30"/>
  </w:num>
  <w:num w:numId="21">
    <w:abstractNumId w:val="30"/>
  </w:num>
  <w:num w:numId="22">
    <w:abstractNumId w:val="30"/>
  </w:num>
  <w:num w:numId="23">
    <w:abstractNumId w:val="30"/>
  </w:num>
  <w:num w:numId="24">
    <w:abstractNumId w:val="24"/>
  </w:num>
  <w:num w:numId="25">
    <w:abstractNumId w:val="25"/>
  </w:num>
  <w:num w:numId="26">
    <w:abstractNumId w:val="31"/>
  </w:num>
  <w:num w:numId="27">
    <w:abstractNumId w:val="35"/>
  </w:num>
  <w:num w:numId="28">
    <w:abstractNumId w:val="30"/>
  </w:num>
  <w:num w:numId="29">
    <w:abstractNumId w:val="17"/>
  </w:num>
  <w:num w:numId="30">
    <w:abstractNumId w:val="37"/>
  </w:num>
  <w:num w:numId="31">
    <w:abstractNumId w:val="38"/>
  </w:num>
  <w:num w:numId="32">
    <w:abstractNumId w:val="39"/>
  </w:num>
  <w:num w:numId="33">
    <w:abstractNumId w:val="14"/>
  </w:num>
  <w:num w:numId="34">
    <w:abstractNumId w:val="40"/>
  </w:num>
  <w:num w:numId="35">
    <w:abstractNumId w:val="26"/>
  </w:num>
  <w:num w:numId="36">
    <w:abstractNumId w:val="18"/>
  </w:num>
  <w:num w:numId="37">
    <w:abstractNumId w:val="28"/>
  </w:num>
  <w:num w:numId="38">
    <w:abstractNumId w:val="20"/>
  </w:num>
  <w:num w:numId="39">
    <w:abstractNumId w:val="15"/>
  </w:num>
  <w:num w:numId="40">
    <w:abstractNumId w:val="13"/>
  </w:num>
  <w:num w:numId="41">
    <w:abstractNumId w:val="33"/>
  </w:num>
  <w:num w:numId="42">
    <w:abstractNumId w:val="34"/>
  </w:num>
  <w:num w:numId="43">
    <w:abstractNumId w:val="16"/>
  </w:num>
  <w:num w:numId="44">
    <w:abstractNumId w:val="27"/>
  </w:num>
  <w:num w:numId="45">
    <w:abstractNumId w:val="32"/>
  </w:num>
  <w:num w:numId="46">
    <w:abstractNumId w:val="36"/>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3BE"/>
    <w:rsid w:val="00001899"/>
    <w:rsid w:val="000041D6"/>
    <w:rsid w:val="000049AD"/>
    <w:rsid w:val="000133C0"/>
    <w:rsid w:val="00014C4E"/>
    <w:rsid w:val="0001663F"/>
    <w:rsid w:val="00017107"/>
    <w:rsid w:val="0001754F"/>
    <w:rsid w:val="000202E2"/>
    <w:rsid w:val="00022441"/>
    <w:rsid w:val="0002261E"/>
    <w:rsid w:val="00024839"/>
    <w:rsid w:val="00026871"/>
    <w:rsid w:val="00027C22"/>
    <w:rsid w:val="000320A0"/>
    <w:rsid w:val="00037A98"/>
    <w:rsid w:val="000427FB"/>
    <w:rsid w:val="00043E6E"/>
    <w:rsid w:val="0004455E"/>
    <w:rsid w:val="00047CB5"/>
    <w:rsid w:val="00051FAA"/>
    <w:rsid w:val="000572A9"/>
    <w:rsid w:val="00061325"/>
    <w:rsid w:val="00064DFF"/>
    <w:rsid w:val="000733AC"/>
    <w:rsid w:val="00074D22"/>
    <w:rsid w:val="00075081"/>
    <w:rsid w:val="0007528A"/>
    <w:rsid w:val="000757F0"/>
    <w:rsid w:val="00077875"/>
    <w:rsid w:val="000811AB"/>
    <w:rsid w:val="00083C5F"/>
    <w:rsid w:val="0009172C"/>
    <w:rsid w:val="000930EC"/>
    <w:rsid w:val="00095E61"/>
    <w:rsid w:val="000966C1"/>
    <w:rsid w:val="00096D83"/>
    <w:rsid w:val="000970AC"/>
    <w:rsid w:val="00097AA0"/>
    <w:rsid w:val="000A1167"/>
    <w:rsid w:val="000A4428"/>
    <w:rsid w:val="000A57F9"/>
    <w:rsid w:val="000A6D40"/>
    <w:rsid w:val="000A7BC3"/>
    <w:rsid w:val="000B1661"/>
    <w:rsid w:val="000B2E88"/>
    <w:rsid w:val="000B4603"/>
    <w:rsid w:val="000C09BE"/>
    <w:rsid w:val="000C1380"/>
    <w:rsid w:val="000C554F"/>
    <w:rsid w:val="000D0DC5"/>
    <w:rsid w:val="000D15FF"/>
    <w:rsid w:val="000D28DF"/>
    <w:rsid w:val="000D488B"/>
    <w:rsid w:val="000D68DF"/>
    <w:rsid w:val="000E03BE"/>
    <w:rsid w:val="000E138D"/>
    <w:rsid w:val="000E187A"/>
    <w:rsid w:val="000E238E"/>
    <w:rsid w:val="000E2D61"/>
    <w:rsid w:val="000E450E"/>
    <w:rsid w:val="000E6259"/>
    <w:rsid w:val="000F0AA2"/>
    <w:rsid w:val="000F4677"/>
    <w:rsid w:val="000F4EDB"/>
    <w:rsid w:val="000F5BE0"/>
    <w:rsid w:val="000F6161"/>
    <w:rsid w:val="00100587"/>
    <w:rsid w:val="0010284E"/>
    <w:rsid w:val="00103122"/>
    <w:rsid w:val="0010336A"/>
    <w:rsid w:val="001050F1"/>
    <w:rsid w:val="00105AEA"/>
    <w:rsid w:val="00106DAF"/>
    <w:rsid w:val="00116023"/>
    <w:rsid w:val="00116520"/>
    <w:rsid w:val="00130C28"/>
    <w:rsid w:val="00134A51"/>
    <w:rsid w:val="00140727"/>
    <w:rsid w:val="001518D0"/>
    <w:rsid w:val="00160628"/>
    <w:rsid w:val="00161344"/>
    <w:rsid w:val="00162195"/>
    <w:rsid w:val="0016322A"/>
    <w:rsid w:val="001653E8"/>
    <w:rsid w:val="00165A21"/>
    <w:rsid w:val="001705CE"/>
    <w:rsid w:val="0017714B"/>
    <w:rsid w:val="00177DBA"/>
    <w:rsid w:val="001804DF"/>
    <w:rsid w:val="00181BDC"/>
    <w:rsid w:val="00181DB0"/>
    <w:rsid w:val="001829E3"/>
    <w:rsid w:val="001879E7"/>
    <w:rsid w:val="0019444B"/>
    <w:rsid w:val="0019655D"/>
    <w:rsid w:val="0019731E"/>
    <w:rsid w:val="001A09FE"/>
    <w:rsid w:val="001A67C9"/>
    <w:rsid w:val="001A69AF"/>
    <w:rsid w:val="001A69DE"/>
    <w:rsid w:val="001B1242"/>
    <w:rsid w:val="001B1C7C"/>
    <w:rsid w:val="001B398F"/>
    <w:rsid w:val="001B46C6"/>
    <w:rsid w:val="001B4B48"/>
    <w:rsid w:val="001B4D1F"/>
    <w:rsid w:val="001B7681"/>
    <w:rsid w:val="001B7CAE"/>
    <w:rsid w:val="001C0772"/>
    <w:rsid w:val="001C0D4F"/>
    <w:rsid w:val="001C1DEC"/>
    <w:rsid w:val="001C5736"/>
    <w:rsid w:val="001C6AF8"/>
    <w:rsid w:val="001D4A49"/>
    <w:rsid w:val="001D54A9"/>
    <w:rsid w:val="001E0572"/>
    <w:rsid w:val="001E0A67"/>
    <w:rsid w:val="001E1028"/>
    <w:rsid w:val="001E14E2"/>
    <w:rsid w:val="001E6302"/>
    <w:rsid w:val="001E7DCB"/>
    <w:rsid w:val="001F3411"/>
    <w:rsid w:val="001F4287"/>
    <w:rsid w:val="001F4DBA"/>
    <w:rsid w:val="001F66EB"/>
    <w:rsid w:val="0020415E"/>
    <w:rsid w:val="00204FF4"/>
    <w:rsid w:val="0021056E"/>
    <w:rsid w:val="0021075D"/>
    <w:rsid w:val="0021165A"/>
    <w:rsid w:val="00211BC9"/>
    <w:rsid w:val="0021620C"/>
    <w:rsid w:val="00216E78"/>
    <w:rsid w:val="00217275"/>
    <w:rsid w:val="00221276"/>
    <w:rsid w:val="00222B9F"/>
    <w:rsid w:val="00222D33"/>
    <w:rsid w:val="00231BB0"/>
    <w:rsid w:val="0023257B"/>
    <w:rsid w:val="00233FFB"/>
    <w:rsid w:val="00236F4B"/>
    <w:rsid w:val="00242B0D"/>
    <w:rsid w:val="002467C6"/>
    <w:rsid w:val="0024692A"/>
    <w:rsid w:val="00252BBA"/>
    <w:rsid w:val="00253123"/>
    <w:rsid w:val="002606E6"/>
    <w:rsid w:val="00264001"/>
    <w:rsid w:val="00266354"/>
    <w:rsid w:val="00267A18"/>
    <w:rsid w:val="002707A8"/>
    <w:rsid w:val="00271552"/>
    <w:rsid w:val="00273462"/>
    <w:rsid w:val="0027395B"/>
    <w:rsid w:val="00273BD9"/>
    <w:rsid w:val="00275854"/>
    <w:rsid w:val="0027598B"/>
    <w:rsid w:val="00280A05"/>
    <w:rsid w:val="00283B41"/>
    <w:rsid w:val="00285980"/>
    <w:rsid w:val="00285F28"/>
    <w:rsid w:val="00286398"/>
    <w:rsid w:val="002869EB"/>
    <w:rsid w:val="002942C0"/>
    <w:rsid w:val="002A3C42"/>
    <w:rsid w:val="002A5D75"/>
    <w:rsid w:val="002B1B1A"/>
    <w:rsid w:val="002B3F3E"/>
    <w:rsid w:val="002B7228"/>
    <w:rsid w:val="002B73F4"/>
    <w:rsid w:val="002C3576"/>
    <w:rsid w:val="002C53EE"/>
    <w:rsid w:val="002D24F7"/>
    <w:rsid w:val="002D2799"/>
    <w:rsid w:val="002D2CD7"/>
    <w:rsid w:val="002D2F61"/>
    <w:rsid w:val="002D3C45"/>
    <w:rsid w:val="002D3D23"/>
    <w:rsid w:val="002D4DDC"/>
    <w:rsid w:val="002D4F75"/>
    <w:rsid w:val="002D6493"/>
    <w:rsid w:val="002D7AB6"/>
    <w:rsid w:val="002E0081"/>
    <w:rsid w:val="002E06D0"/>
    <w:rsid w:val="002E0932"/>
    <w:rsid w:val="002E3C27"/>
    <w:rsid w:val="002E403A"/>
    <w:rsid w:val="002E7F3A"/>
    <w:rsid w:val="002F0624"/>
    <w:rsid w:val="002F4EDB"/>
    <w:rsid w:val="002F6054"/>
    <w:rsid w:val="002F7FEE"/>
    <w:rsid w:val="003056E7"/>
    <w:rsid w:val="003137D1"/>
    <w:rsid w:val="00315713"/>
    <w:rsid w:val="0031686C"/>
    <w:rsid w:val="00316FE0"/>
    <w:rsid w:val="003204D2"/>
    <w:rsid w:val="00325102"/>
    <w:rsid w:val="0032605E"/>
    <w:rsid w:val="0032665C"/>
    <w:rsid w:val="003275D1"/>
    <w:rsid w:val="00330B2A"/>
    <w:rsid w:val="00331E17"/>
    <w:rsid w:val="00333063"/>
    <w:rsid w:val="003408E3"/>
    <w:rsid w:val="00343480"/>
    <w:rsid w:val="00345E89"/>
    <w:rsid w:val="003522A1"/>
    <w:rsid w:val="0035254B"/>
    <w:rsid w:val="00352F0B"/>
    <w:rsid w:val="00353555"/>
    <w:rsid w:val="003565D4"/>
    <w:rsid w:val="003607FB"/>
    <w:rsid w:val="00360FD5"/>
    <w:rsid w:val="003634A5"/>
    <w:rsid w:val="00366868"/>
    <w:rsid w:val="00367506"/>
    <w:rsid w:val="00370085"/>
    <w:rsid w:val="003744A7"/>
    <w:rsid w:val="00376235"/>
    <w:rsid w:val="003777C0"/>
    <w:rsid w:val="00380FB0"/>
    <w:rsid w:val="00381FB6"/>
    <w:rsid w:val="003836D3"/>
    <w:rsid w:val="00383A52"/>
    <w:rsid w:val="003862B3"/>
    <w:rsid w:val="00391652"/>
    <w:rsid w:val="00393424"/>
    <w:rsid w:val="0039507F"/>
    <w:rsid w:val="003A1260"/>
    <w:rsid w:val="003A295F"/>
    <w:rsid w:val="003A4177"/>
    <w:rsid w:val="003A41DD"/>
    <w:rsid w:val="003A4F31"/>
    <w:rsid w:val="003A7033"/>
    <w:rsid w:val="003B47FE"/>
    <w:rsid w:val="003B5673"/>
    <w:rsid w:val="003B62C9"/>
    <w:rsid w:val="003C7176"/>
    <w:rsid w:val="003D0929"/>
    <w:rsid w:val="003D2AF9"/>
    <w:rsid w:val="003D4729"/>
    <w:rsid w:val="003D543E"/>
    <w:rsid w:val="003D5902"/>
    <w:rsid w:val="003D7DD6"/>
    <w:rsid w:val="003E504D"/>
    <w:rsid w:val="003E5AAF"/>
    <w:rsid w:val="003E600D"/>
    <w:rsid w:val="003E64DF"/>
    <w:rsid w:val="003E6A5D"/>
    <w:rsid w:val="003F015C"/>
    <w:rsid w:val="003F193A"/>
    <w:rsid w:val="003F2996"/>
    <w:rsid w:val="003F4207"/>
    <w:rsid w:val="003F5C46"/>
    <w:rsid w:val="003F7CBB"/>
    <w:rsid w:val="003F7D34"/>
    <w:rsid w:val="00412C8E"/>
    <w:rsid w:val="0041518D"/>
    <w:rsid w:val="0041733A"/>
    <w:rsid w:val="004207F0"/>
    <w:rsid w:val="004216C6"/>
    <w:rsid w:val="0042221D"/>
    <w:rsid w:val="00424DD3"/>
    <w:rsid w:val="004269C5"/>
    <w:rsid w:val="00435939"/>
    <w:rsid w:val="00436A5B"/>
    <w:rsid w:val="00437CC7"/>
    <w:rsid w:val="00440569"/>
    <w:rsid w:val="00441EF7"/>
    <w:rsid w:val="00442B9C"/>
    <w:rsid w:val="0044738A"/>
    <w:rsid w:val="004473D3"/>
    <w:rsid w:val="00452231"/>
    <w:rsid w:val="00460C13"/>
    <w:rsid w:val="00462BD5"/>
    <w:rsid w:val="00463228"/>
    <w:rsid w:val="00463782"/>
    <w:rsid w:val="004667E0"/>
    <w:rsid w:val="0046760E"/>
    <w:rsid w:val="00470E10"/>
    <w:rsid w:val="00473368"/>
    <w:rsid w:val="00477A97"/>
    <w:rsid w:val="00481343"/>
    <w:rsid w:val="00483796"/>
    <w:rsid w:val="004841CD"/>
    <w:rsid w:val="004842A9"/>
    <w:rsid w:val="004842DB"/>
    <w:rsid w:val="0048549E"/>
    <w:rsid w:val="00493347"/>
    <w:rsid w:val="00496092"/>
    <w:rsid w:val="004976B5"/>
    <w:rsid w:val="004978D2"/>
    <w:rsid w:val="004A08DB"/>
    <w:rsid w:val="004A25D0"/>
    <w:rsid w:val="004A37E8"/>
    <w:rsid w:val="004A7549"/>
    <w:rsid w:val="004B072E"/>
    <w:rsid w:val="004B09D4"/>
    <w:rsid w:val="004B2BDB"/>
    <w:rsid w:val="004B330A"/>
    <w:rsid w:val="004B7C8E"/>
    <w:rsid w:val="004C0B3B"/>
    <w:rsid w:val="004C3BA6"/>
    <w:rsid w:val="004D0EDC"/>
    <w:rsid w:val="004D1220"/>
    <w:rsid w:val="004D14B3"/>
    <w:rsid w:val="004D1529"/>
    <w:rsid w:val="004D2253"/>
    <w:rsid w:val="004D5514"/>
    <w:rsid w:val="004D56C3"/>
    <w:rsid w:val="004E0338"/>
    <w:rsid w:val="004E2453"/>
    <w:rsid w:val="004E4FF3"/>
    <w:rsid w:val="004E521E"/>
    <w:rsid w:val="004E56A8"/>
    <w:rsid w:val="004F3B55"/>
    <w:rsid w:val="004F4E46"/>
    <w:rsid w:val="004F6B7D"/>
    <w:rsid w:val="005005C2"/>
    <w:rsid w:val="005015F6"/>
    <w:rsid w:val="005030C4"/>
    <w:rsid w:val="005031C5"/>
    <w:rsid w:val="00504FDC"/>
    <w:rsid w:val="005110A0"/>
    <w:rsid w:val="005120CC"/>
    <w:rsid w:val="00512B7B"/>
    <w:rsid w:val="00514EA1"/>
    <w:rsid w:val="00516AAB"/>
    <w:rsid w:val="0051798B"/>
    <w:rsid w:val="00521F5A"/>
    <w:rsid w:val="00522800"/>
    <w:rsid w:val="00525E06"/>
    <w:rsid w:val="00526454"/>
    <w:rsid w:val="00531823"/>
    <w:rsid w:val="0053297A"/>
    <w:rsid w:val="00534ECC"/>
    <w:rsid w:val="0053720D"/>
    <w:rsid w:val="00540EF5"/>
    <w:rsid w:val="00541BF3"/>
    <w:rsid w:val="00541CD3"/>
    <w:rsid w:val="00545A63"/>
    <w:rsid w:val="005476FA"/>
    <w:rsid w:val="00554988"/>
    <w:rsid w:val="005557C1"/>
    <w:rsid w:val="0055595E"/>
    <w:rsid w:val="00557988"/>
    <w:rsid w:val="00557AD5"/>
    <w:rsid w:val="00561506"/>
    <w:rsid w:val="00562C49"/>
    <w:rsid w:val="00562DEF"/>
    <w:rsid w:val="00563A35"/>
    <w:rsid w:val="00566596"/>
    <w:rsid w:val="005701AE"/>
    <w:rsid w:val="005741E9"/>
    <w:rsid w:val="005748CF"/>
    <w:rsid w:val="00575987"/>
    <w:rsid w:val="00581CD6"/>
    <w:rsid w:val="005824E2"/>
    <w:rsid w:val="00584270"/>
    <w:rsid w:val="00584738"/>
    <w:rsid w:val="005920B0"/>
    <w:rsid w:val="0059380D"/>
    <w:rsid w:val="005939BC"/>
    <w:rsid w:val="00595A8F"/>
    <w:rsid w:val="00597BF2"/>
    <w:rsid w:val="005B134E"/>
    <w:rsid w:val="005B2039"/>
    <w:rsid w:val="005B344F"/>
    <w:rsid w:val="005B3FBA"/>
    <w:rsid w:val="005B4A1D"/>
    <w:rsid w:val="005B674D"/>
    <w:rsid w:val="005C0CBE"/>
    <w:rsid w:val="005C14AD"/>
    <w:rsid w:val="005C1FCF"/>
    <w:rsid w:val="005C6993"/>
    <w:rsid w:val="005C7097"/>
    <w:rsid w:val="005D1885"/>
    <w:rsid w:val="005D240B"/>
    <w:rsid w:val="005D355A"/>
    <w:rsid w:val="005D4A38"/>
    <w:rsid w:val="005E2EEA"/>
    <w:rsid w:val="005E3708"/>
    <w:rsid w:val="005E3CCD"/>
    <w:rsid w:val="005E3D6B"/>
    <w:rsid w:val="005E5E4A"/>
    <w:rsid w:val="005E693D"/>
    <w:rsid w:val="005E75BF"/>
    <w:rsid w:val="005F1486"/>
    <w:rsid w:val="005F57BA"/>
    <w:rsid w:val="005F61E6"/>
    <w:rsid w:val="005F6C45"/>
    <w:rsid w:val="006012B0"/>
    <w:rsid w:val="0060499D"/>
    <w:rsid w:val="00605A69"/>
    <w:rsid w:val="00606C54"/>
    <w:rsid w:val="00612DA1"/>
    <w:rsid w:val="00614375"/>
    <w:rsid w:val="00614D15"/>
    <w:rsid w:val="00615B0A"/>
    <w:rsid w:val="006168CF"/>
    <w:rsid w:val="00616E0E"/>
    <w:rsid w:val="0062011B"/>
    <w:rsid w:val="00626DE0"/>
    <w:rsid w:val="00630901"/>
    <w:rsid w:val="0063117E"/>
    <w:rsid w:val="00631F8E"/>
    <w:rsid w:val="00635248"/>
    <w:rsid w:val="00636EE9"/>
    <w:rsid w:val="00640950"/>
    <w:rsid w:val="00641AE7"/>
    <w:rsid w:val="00642629"/>
    <w:rsid w:val="00644661"/>
    <w:rsid w:val="006472CB"/>
    <w:rsid w:val="006526AC"/>
    <w:rsid w:val="0065293D"/>
    <w:rsid w:val="00653EFC"/>
    <w:rsid w:val="00654021"/>
    <w:rsid w:val="00655266"/>
    <w:rsid w:val="00657E1E"/>
    <w:rsid w:val="00661045"/>
    <w:rsid w:val="00666DA8"/>
    <w:rsid w:val="00671057"/>
    <w:rsid w:val="00675AAF"/>
    <w:rsid w:val="00677EC4"/>
    <w:rsid w:val="0068031A"/>
    <w:rsid w:val="00681B2F"/>
    <w:rsid w:val="0068335F"/>
    <w:rsid w:val="0069032C"/>
    <w:rsid w:val="006922F0"/>
    <w:rsid w:val="00692C02"/>
    <w:rsid w:val="00693302"/>
    <w:rsid w:val="00693B2E"/>
    <w:rsid w:val="0069640B"/>
    <w:rsid w:val="006A1B83"/>
    <w:rsid w:val="006A21CD"/>
    <w:rsid w:val="006A5918"/>
    <w:rsid w:val="006A78F3"/>
    <w:rsid w:val="006B21B2"/>
    <w:rsid w:val="006B474F"/>
    <w:rsid w:val="006B4A4A"/>
    <w:rsid w:val="006C0684"/>
    <w:rsid w:val="006C19B2"/>
    <w:rsid w:val="006C5BB8"/>
    <w:rsid w:val="006C645B"/>
    <w:rsid w:val="006C6936"/>
    <w:rsid w:val="006C7B01"/>
    <w:rsid w:val="006D0FE8"/>
    <w:rsid w:val="006D4B2B"/>
    <w:rsid w:val="006D4F3C"/>
    <w:rsid w:val="006D5C66"/>
    <w:rsid w:val="006E0AF2"/>
    <w:rsid w:val="006E1B3C"/>
    <w:rsid w:val="006E23FB"/>
    <w:rsid w:val="006E325A"/>
    <w:rsid w:val="006E33EC"/>
    <w:rsid w:val="006E3802"/>
    <w:rsid w:val="006E69D0"/>
    <w:rsid w:val="006E6C02"/>
    <w:rsid w:val="006F231A"/>
    <w:rsid w:val="006F788D"/>
    <w:rsid w:val="006F78E1"/>
    <w:rsid w:val="00701072"/>
    <w:rsid w:val="0070130D"/>
    <w:rsid w:val="00702054"/>
    <w:rsid w:val="007035A4"/>
    <w:rsid w:val="00710A0F"/>
    <w:rsid w:val="00711799"/>
    <w:rsid w:val="007127E1"/>
    <w:rsid w:val="00712B78"/>
    <w:rsid w:val="0071393B"/>
    <w:rsid w:val="00713EE2"/>
    <w:rsid w:val="0071734E"/>
    <w:rsid w:val="007177FC"/>
    <w:rsid w:val="00720C5E"/>
    <w:rsid w:val="00721701"/>
    <w:rsid w:val="00721C42"/>
    <w:rsid w:val="00731835"/>
    <w:rsid w:val="007323A5"/>
    <w:rsid w:val="007324B4"/>
    <w:rsid w:val="007341F8"/>
    <w:rsid w:val="00734372"/>
    <w:rsid w:val="00734EB8"/>
    <w:rsid w:val="00735F8B"/>
    <w:rsid w:val="007372AE"/>
    <w:rsid w:val="00742D1F"/>
    <w:rsid w:val="00743EBA"/>
    <w:rsid w:val="007441FF"/>
    <w:rsid w:val="00744C8E"/>
    <w:rsid w:val="00744CEF"/>
    <w:rsid w:val="0074707E"/>
    <w:rsid w:val="0074756E"/>
    <w:rsid w:val="007516DC"/>
    <w:rsid w:val="00752EAF"/>
    <w:rsid w:val="00754B80"/>
    <w:rsid w:val="00761918"/>
    <w:rsid w:val="00762F03"/>
    <w:rsid w:val="0076413B"/>
    <w:rsid w:val="007648AE"/>
    <w:rsid w:val="00764BF8"/>
    <w:rsid w:val="0076514D"/>
    <w:rsid w:val="007678A2"/>
    <w:rsid w:val="00773D59"/>
    <w:rsid w:val="00781003"/>
    <w:rsid w:val="007839F5"/>
    <w:rsid w:val="007858D3"/>
    <w:rsid w:val="00787859"/>
    <w:rsid w:val="00790B81"/>
    <w:rsid w:val="007911FD"/>
    <w:rsid w:val="00793930"/>
    <w:rsid w:val="00793DD1"/>
    <w:rsid w:val="00794FEC"/>
    <w:rsid w:val="00795903"/>
    <w:rsid w:val="007A003E"/>
    <w:rsid w:val="007A1965"/>
    <w:rsid w:val="007A2ED1"/>
    <w:rsid w:val="007A4BE6"/>
    <w:rsid w:val="007B0DC6"/>
    <w:rsid w:val="007B1094"/>
    <w:rsid w:val="007B1762"/>
    <w:rsid w:val="007B329B"/>
    <w:rsid w:val="007B3320"/>
    <w:rsid w:val="007C301F"/>
    <w:rsid w:val="007C37B4"/>
    <w:rsid w:val="007C4540"/>
    <w:rsid w:val="007C65AF"/>
    <w:rsid w:val="007C6937"/>
    <w:rsid w:val="007D135D"/>
    <w:rsid w:val="007D730F"/>
    <w:rsid w:val="007D7CD8"/>
    <w:rsid w:val="007E3AA7"/>
    <w:rsid w:val="007E73D6"/>
    <w:rsid w:val="007F737D"/>
    <w:rsid w:val="007F77F9"/>
    <w:rsid w:val="00801AB4"/>
    <w:rsid w:val="0080308E"/>
    <w:rsid w:val="00806705"/>
    <w:rsid w:val="00806738"/>
    <w:rsid w:val="0081752D"/>
    <w:rsid w:val="0081793E"/>
    <w:rsid w:val="008216D5"/>
    <w:rsid w:val="008249CE"/>
    <w:rsid w:val="0083148A"/>
    <w:rsid w:val="00831753"/>
    <w:rsid w:val="00831A50"/>
    <w:rsid w:val="00831B3C"/>
    <w:rsid w:val="00831C89"/>
    <w:rsid w:val="00832114"/>
    <w:rsid w:val="00834C46"/>
    <w:rsid w:val="0084093E"/>
    <w:rsid w:val="00841CE1"/>
    <w:rsid w:val="008452FC"/>
    <w:rsid w:val="008473D8"/>
    <w:rsid w:val="008528DC"/>
    <w:rsid w:val="00852B8C"/>
    <w:rsid w:val="00854981"/>
    <w:rsid w:val="0085529F"/>
    <w:rsid w:val="00864B2E"/>
    <w:rsid w:val="00865963"/>
    <w:rsid w:val="0087344F"/>
    <w:rsid w:val="0087450E"/>
    <w:rsid w:val="00875A82"/>
    <w:rsid w:val="00876CA3"/>
    <w:rsid w:val="008772FE"/>
    <w:rsid w:val="008775F1"/>
    <w:rsid w:val="00880E52"/>
    <w:rsid w:val="00880FAD"/>
    <w:rsid w:val="008821AE"/>
    <w:rsid w:val="0088260C"/>
    <w:rsid w:val="00883D3A"/>
    <w:rsid w:val="008854F7"/>
    <w:rsid w:val="00885A9D"/>
    <w:rsid w:val="008929D2"/>
    <w:rsid w:val="00893636"/>
    <w:rsid w:val="00893B94"/>
    <w:rsid w:val="00894088"/>
    <w:rsid w:val="00896E9D"/>
    <w:rsid w:val="00896F11"/>
    <w:rsid w:val="008A0179"/>
    <w:rsid w:val="008A1049"/>
    <w:rsid w:val="008A1C98"/>
    <w:rsid w:val="008A322D"/>
    <w:rsid w:val="008A4D72"/>
    <w:rsid w:val="008A6285"/>
    <w:rsid w:val="008A63B2"/>
    <w:rsid w:val="008A70DC"/>
    <w:rsid w:val="008B345D"/>
    <w:rsid w:val="008C1FC2"/>
    <w:rsid w:val="008C2980"/>
    <w:rsid w:val="008C5AFB"/>
    <w:rsid w:val="008C777C"/>
    <w:rsid w:val="008D07FB"/>
    <w:rsid w:val="008D0C02"/>
    <w:rsid w:val="008D357D"/>
    <w:rsid w:val="008D5702"/>
    <w:rsid w:val="008E387B"/>
    <w:rsid w:val="008E6087"/>
    <w:rsid w:val="008E6479"/>
    <w:rsid w:val="008E758D"/>
    <w:rsid w:val="008F10A7"/>
    <w:rsid w:val="008F755D"/>
    <w:rsid w:val="008F7A39"/>
    <w:rsid w:val="009021E8"/>
    <w:rsid w:val="009026F8"/>
    <w:rsid w:val="00906F83"/>
    <w:rsid w:val="00911440"/>
    <w:rsid w:val="00911712"/>
    <w:rsid w:val="00911B27"/>
    <w:rsid w:val="00914BAE"/>
    <w:rsid w:val="009170BE"/>
    <w:rsid w:val="00920B55"/>
    <w:rsid w:val="009262C9"/>
    <w:rsid w:val="00930EB9"/>
    <w:rsid w:val="00933DC7"/>
    <w:rsid w:val="00937D73"/>
    <w:rsid w:val="009418F4"/>
    <w:rsid w:val="00942BBC"/>
    <w:rsid w:val="00944180"/>
    <w:rsid w:val="00944AA0"/>
    <w:rsid w:val="00946C38"/>
    <w:rsid w:val="00947DA2"/>
    <w:rsid w:val="00950B99"/>
    <w:rsid w:val="00951177"/>
    <w:rsid w:val="00951D58"/>
    <w:rsid w:val="00961BDA"/>
    <w:rsid w:val="009622CA"/>
    <w:rsid w:val="00966060"/>
    <w:rsid w:val="009673E8"/>
    <w:rsid w:val="00974DB8"/>
    <w:rsid w:val="00980661"/>
    <w:rsid w:val="0098093B"/>
    <w:rsid w:val="00985267"/>
    <w:rsid w:val="009876D4"/>
    <w:rsid w:val="009914A5"/>
    <w:rsid w:val="0099207C"/>
    <w:rsid w:val="0099548E"/>
    <w:rsid w:val="00996456"/>
    <w:rsid w:val="00996A12"/>
    <w:rsid w:val="00997B0F"/>
    <w:rsid w:val="009A1CAD"/>
    <w:rsid w:val="009A3440"/>
    <w:rsid w:val="009A5832"/>
    <w:rsid w:val="009A6838"/>
    <w:rsid w:val="009B24B5"/>
    <w:rsid w:val="009B4EBC"/>
    <w:rsid w:val="009B5ABB"/>
    <w:rsid w:val="009B73CE"/>
    <w:rsid w:val="009C2461"/>
    <w:rsid w:val="009C57C9"/>
    <w:rsid w:val="009C6FE2"/>
    <w:rsid w:val="009C7674"/>
    <w:rsid w:val="009D004A"/>
    <w:rsid w:val="009D5880"/>
    <w:rsid w:val="009E3713"/>
    <w:rsid w:val="009E3B07"/>
    <w:rsid w:val="009E51D1"/>
    <w:rsid w:val="009E5531"/>
    <w:rsid w:val="009F171E"/>
    <w:rsid w:val="009F20E8"/>
    <w:rsid w:val="009F3D2F"/>
    <w:rsid w:val="009F7052"/>
    <w:rsid w:val="00A023A0"/>
    <w:rsid w:val="00A02668"/>
    <w:rsid w:val="00A02801"/>
    <w:rsid w:val="00A06A39"/>
    <w:rsid w:val="00A07F58"/>
    <w:rsid w:val="00A131CB"/>
    <w:rsid w:val="00A14847"/>
    <w:rsid w:val="00A16D6D"/>
    <w:rsid w:val="00A17BA0"/>
    <w:rsid w:val="00A21383"/>
    <w:rsid w:val="00A2199F"/>
    <w:rsid w:val="00A21B31"/>
    <w:rsid w:val="00A2360E"/>
    <w:rsid w:val="00A26E0C"/>
    <w:rsid w:val="00A26EB2"/>
    <w:rsid w:val="00A32FCB"/>
    <w:rsid w:val="00A34C25"/>
    <w:rsid w:val="00A3507D"/>
    <w:rsid w:val="00A35A89"/>
    <w:rsid w:val="00A3717A"/>
    <w:rsid w:val="00A4088C"/>
    <w:rsid w:val="00A4456B"/>
    <w:rsid w:val="00A448D4"/>
    <w:rsid w:val="00A452E0"/>
    <w:rsid w:val="00A51EA5"/>
    <w:rsid w:val="00A53742"/>
    <w:rsid w:val="00A557A1"/>
    <w:rsid w:val="00A63059"/>
    <w:rsid w:val="00A63AE3"/>
    <w:rsid w:val="00A651A4"/>
    <w:rsid w:val="00A71361"/>
    <w:rsid w:val="00A734EA"/>
    <w:rsid w:val="00A746E2"/>
    <w:rsid w:val="00A81FF2"/>
    <w:rsid w:val="00A83904"/>
    <w:rsid w:val="00A90A79"/>
    <w:rsid w:val="00A96B30"/>
    <w:rsid w:val="00AA1E6D"/>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36F6"/>
    <w:rsid w:val="00B077FA"/>
    <w:rsid w:val="00B10992"/>
    <w:rsid w:val="00B127D7"/>
    <w:rsid w:val="00B13B0C"/>
    <w:rsid w:val="00B1453A"/>
    <w:rsid w:val="00B1782E"/>
    <w:rsid w:val="00B20F82"/>
    <w:rsid w:val="00B25BD5"/>
    <w:rsid w:val="00B34079"/>
    <w:rsid w:val="00B3793A"/>
    <w:rsid w:val="00B401BA"/>
    <w:rsid w:val="00B40346"/>
    <w:rsid w:val="00B407E4"/>
    <w:rsid w:val="00B425B6"/>
    <w:rsid w:val="00B42A72"/>
    <w:rsid w:val="00B441AE"/>
    <w:rsid w:val="00B45F33"/>
    <w:rsid w:val="00B46D50"/>
    <w:rsid w:val="00B53170"/>
    <w:rsid w:val="00B55022"/>
    <w:rsid w:val="00B627E0"/>
    <w:rsid w:val="00B62999"/>
    <w:rsid w:val="00B63598"/>
    <w:rsid w:val="00B63BE3"/>
    <w:rsid w:val="00B64885"/>
    <w:rsid w:val="00B66810"/>
    <w:rsid w:val="00B72BE3"/>
    <w:rsid w:val="00B73B80"/>
    <w:rsid w:val="00B75E09"/>
    <w:rsid w:val="00B770C7"/>
    <w:rsid w:val="00B80F26"/>
    <w:rsid w:val="00B822BD"/>
    <w:rsid w:val="00B842F4"/>
    <w:rsid w:val="00B85071"/>
    <w:rsid w:val="00B917DA"/>
    <w:rsid w:val="00B91A7B"/>
    <w:rsid w:val="00B929DD"/>
    <w:rsid w:val="00B9442E"/>
    <w:rsid w:val="00B94F26"/>
    <w:rsid w:val="00B95405"/>
    <w:rsid w:val="00B963F1"/>
    <w:rsid w:val="00BA020A"/>
    <w:rsid w:val="00BB02A4"/>
    <w:rsid w:val="00BB1270"/>
    <w:rsid w:val="00BB1E44"/>
    <w:rsid w:val="00BB5267"/>
    <w:rsid w:val="00BB52B8"/>
    <w:rsid w:val="00BB59D8"/>
    <w:rsid w:val="00BB6C7F"/>
    <w:rsid w:val="00BB7E69"/>
    <w:rsid w:val="00BC3C1F"/>
    <w:rsid w:val="00BC5C0C"/>
    <w:rsid w:val="00BC7CE7"/>
    <w:rsid w:val="00BD295E"/>
    <w:rsid w:val="00BD4664"/>
    <w:rsid w:val="00BE1193"/>
    <w:rsid w:val="00BF1C11"/>
    <w:rsid w:val="00BF4849"/>
    <w:rsid w:val="00BF4EA7"/>
    <w:rsid w:val="00BF6630"/>
    <w:rsid w:val="00C00EDB"/>
    <w:rsid w:val="00C02863"/>
    <w:rsid w:val="00C0383A"/>
    <w:rsid w:val="00C067FF"/>
    <w:rsid w:val="00C12862"/>
    <w:rsid w:val="00C13D28"/>
    <w:rsid w:val="00C14585"/>
    <w:rsid w:val="00C165A0"/>
    <w:rsid w:val="00C174D1"/>
    <w:rsid w:val="00C216CE"/>
    <w:rsid w:val="00C2184F"/>
    <w:rsid w:val="00C22A78"/>
    <w:rsid w:val="00C23C7E"/>
    <w:rsid w:val="00C246C5"/>
    <w:rsid w:val="00C25A82"/>
    <w:rsid w:val="00C30A2A"/>
    <w:rsid w:val="00C33993"/>
    <w:rsid w:val="00C4069E"/>
    <w:rsid w:val="00C41ADC"/>
    <w:rsid w:val="00C42E55"/>
    <w:rsid w:val="00C44149"/>
    <w:rsid w:val="00C44410"/>
    <w:rsid w:val="00C44A15"/>
    <w:rsid w:val="00C4630A"/>
    <w:rsid w:val="00C523F0"/>
    <w:rsid w:val="00C526D2"/>
    <w:rsid w:val="00C560F1"/>
    <w:rsid w:val="00C5794E"/>
    <w:rsid w:val="00C60968"/>
    <w:rsid w:val="00C63D39"/>
    <w:rsid w:val="00C63EDD"/>
    <w:rsid w:val="00C65B36"/>
    <w:rsid w:val="00C67399"/>
    <w:rsid w:val="00C7292E"/>
    <w:rsid w:val="00C74E88"/>
    <w:rsid w:val="00C74F32"/>
    <w:rsid w:val="00C80924"/>
    <w:rsid w:val="00C8286B"/>
    <w:rsid w:val="00C83FB9"/>
    <w:rsid w:val="00C906D6"/>
    <w:rsid w:val="00C90D8C"/>
    <w:rsid w:val="00C947F8"/>
    <w:rsid w:val="00C9515F"/>
    <w:rsid w:val="00C963C5"/>
    <w:rsid w:val="00CA030C"/>
    <w:rsid w:val="00CA1668"/>
    <w:rsid w:val="00CA1F41"/>
    <w:rsid w:val="00CA2F4C"/>
    <w:rsid w:val="00CA32EE"/>
    <w:rsid w:val="00CA402A"/>
    <w:rsid w:val="00CA6A1A"/>
    <w:rsid w:val="00CC1E75"/>
    <w:rsid w:val="00CC2E0E"/>
    <w:rsid w:val="00CC361C"/>
    <w:rsid w:val="00CC474B"/>
    <w:rsid w:val="00CC658C"/>
    <w:rsid w:val="00CC67BF"/>
    <w:rsid w:val="00CD0843"/>
    <w:rsid w:val="00CD5A78"/>
    <w:rsid w:val="00CD6853"/>
    <w:rsid w:val="00CD7345"/>
    <w:rsid w:val="00CE0ED4"/>
    <w:rsid w:val="00CE372E"/>
    <w:rsid w:val="00CE5E64"/>
    <w:rsid w:val="00CF0A1B"/>
    <w:rsid w:val="00CF160B"/>
    <w:rsid w:val="00CF19F6"/>
    <w:rsid w:val="00CF1DAD"/>
    <w:rsid w:val="00CF21C2"/>
    <w:rsid w:val="00CF2F4F"/>
    <w:rsid w:val="00CF536D"/>
    <w:rsid w:val="00CF5A38"/>
    <w:rsid w:val="00D10CB8"/>
    <w:rsid w:val="00D12806"/>
    <w:rsid w:val="00D12D44"/>
    <w:rsid w:val="00D15018"/>
    <w:rsid w:val="00D158AC"/>
    <w:rsid w:val="00D1694C"/>
    <w:rsid w:val="00D20E7A"/>
    <w:rsid w:val="00D20F5E"/>
    <w:rsid w:val="00D23B76"/>
    <w:rsid w:val="00D24663"/>
    <w:rsid w:val="00D34AF4"/>
    <w:rsid w:val="00D359A6"/>
    <w:rsid w:val="00D379A3"/>
    <w:rsid w:val="00D43272"/>
    <w:rsid w:val="00D45FF3"/>
    <w:rsid w:val="00D46B85"/>
    <w:rsid w:val="00D512CF"/>
    <w:rsid w:val="00D5234D"/>
    <w:rsid w:val="00D528B9"/>
    <w:rsid w:val="00D53186"/>
    <w:rsid w:val="00D5487D"/>
    <w:rsid w:val="00D60140"/>
    <w:rsid w:val="00D6024A"/>
    <w:rsid w:val="00D608B5"/>
    <w:rsid w:val="00D71F99"/>
    <w:rsid w:val="00D7309F"/>
    <w:rsid w:val="00D73CA4"/>
    <w:rsid w:val="00D73D71"/>
    <w:rsid w:val="00D74396"/>
    <w:rsid w:val="00D80284"/>
    <w:rsid w:val="00D814BE"/>
    <w:rsid w:val="00D81F71"/>
    <w:rsid w:val="00D83DEA"/>
    <w:rsid w:val="00D8642D"/>
    <w:rsid w:val="00D90A5E"/>
    <w:rsid w:val="00D91A68"/>
    <w:rsid w:val="00D95A68"/>
    <w:rsid w:val="00DA17C7"/>
    <w:rsid w:val="00DA6A9A"/>
    <w:rsid w:val="00DB1EFD"/>
    <w:rsid w:val="00DB3EAF"/>
    <w:rsid w:val="00DC3203"/>
    <w:rsid w:val="00DC3C99"/>
    <w:rsid w:val="00DC52F5"/>
    <w:rsid w:val="00DC5B61"/>
    <w:rsid w:val="00DC5FD0"/>
    <w:rsid w:val="00DD0354"/>
    <w:rsid w:val="00DD27D7"/>
    <w:rsid w:val="00DD458C"/>
    <w:rsid w:val="00DD72E9"/>
    <w:rsid w:val="00DD7605"/>
    <w:rsid w:val="00DE2020"/>
    <w:rsid w:val="00DE2D59"/>
    <w:rsid w:val="00DE3476"/>
    <w:rsid w:val="00DF5B84"/>
    <w:rsid w:val="00DF68D2"/>
    <w:rsid w:val="00DF6D5B"/>
    <w:rsid w:val="00DF771B"/>
    <w:rsid w:val="00DF7EE2"/>
    <w:rsid w:val="00E01BAA"/>
    <w:rsid w:val="00E0282A"/>
    <w:rsid w:val="00E041B1"/>
    <w:rsid w:val="00E07E14"/>
    <w:rsid w:val="00E1040A"/>
    <w:rsid w:val="00E14F94"/>
    <w:rsid w:val="00E17336"/>
    <w:rsid w:val="00E17D15"/>
    <w:rsid w:val="00E22B95"/>
    <w:rsid w:val="00E30331"/>
    <w:rsid w:val="00E30BB8"/>
    <w:rsid w:val="00E31F9C"/>
    <w:rsid w:val="00E35093"/>
    <w:rsid w:val="00E37B59"/>
    <w:rsid w:val="00E403FE"/>
    <w:rsid w:val="00E40488"/>
    <w:rsid w:val="00E40BA1"/>
    <w:rsid w:val="00E42FAE"/>
    <w:rsid w:val="00E50367"/>
    <w:rsid w:val="00E51ABA"/>
    <w:rsid w:val="00E524CB"/>
    <w:rsid w:val="00E648B1"/>
    <w:rsid w:val="00E65456"/>
    <w:rsid w:val="00E65A91"/>
    <w:rsid w:val="00E66188"/>
    <w:rsid w:val="00E664FB"/>
    <w:rsid w:val="00E70373"/>
    <w:rsid w:val="00E72E40"/>
    <w:rsid w:val="00E73665"/>
    <w:rsid w:val="00E73999"/>
    <w:rsid w:val="00E73BDC"/>
    <w:rsid w:val="00E73E9E"/>
    <w:rsid w:val="00E7649A"/>
    <w:rsid w:val="00E77DB9"/>
    <w:rsid w:val="00E81660"/>
    <w:rsid w:val="00E81F63"/>
    <w:rsid w:val="00E854FE"/>
    <w:rsid w:val="00E906CC"/>
    <w:rsid w:val="00E911EE"/>
    <w:rsid w:val="00E939A0"/>
    <w:rsid w:val="00E9457E"/>
    <w:rsid w:val="00E97E4E"/>
    <w:rsid w:val="00EA1CC2"/>
    <w:rsid w:val="00EA2C9E"/>
    <w:rsid w:val="00EA2D76"/>
    <w:rsid w:val="00EA4644"/>
    <w:rsid w:val="00EA4FBB"/>
    <w:rsid w:val="00EA758A"/>
    <w:rsid w:val="00EB199F"/>
    <w:rsid w:val="00EB27C4"/>
    <w:rsid w:val="00EB5387"/>
    <w:rsid w:val="00EB5C10"/>
    <w:rsid w:val="00EB7322"/>
    <w:rsid w:val="00EC0CD3"/>
    <w:rsid w:val="00EC0FE9"/>
    <w:rsid w:val="00EC426D"/>
    <w:rsid w:val="00EC571B"/>
    <w:rsid w:val="00EC57D7"/>
    <w:rsid w:val="00EC6385"/>
    <w:rsid w:val="00ED1DE9"/>
    <w:rsid w:val="00ED23D4"/>
    <w:rsid w:val="00ED5E0B"/>
    <w:rsid w:val="00EE13AE"/>
    <w:rsid w:val="00EE37B6"/>
    <w:rsid w:val="00EF0F45"/>
    <w:rsid w:val="00EF7463"/>
    <w:rsid w:val="00F002EF"/>
    <w:rsid w:val="00F01EE9"/>
    <w:rsid w:val="00F02F94"/>
    <w:rsid w:val="00F04900"/>
    <w:rsid w:val="00F05E0D"/>
    <w:rsid w:val="00F065A4"/>
    <w:rsid w:val="00F126B9"/>
    <w:rsid w:val="00F12715"/>
    <w:rsid w:val="00F144D5"/>
    <w:rsid w:val="00F146F0"/>
    <w:rsid w:val="00F15039"/>
    <w:rsid w:val="00F20FF3"/>
    <w:rsid w:val="00F2190B"/>
    <w:rsid w:val="00F228B5"/>
    <w:rsid w:val="00F2389C"/>
    <w:rsid w:val="00F25C67"/>
    <w:rsid w:val="00F30DFF"/>
    <w:rsid w:val="00F314C0"/>
    <w:rsid w:val="00F32B80"/>
    <w:rsid w:val="00F340EB"/>
    <w:rsid w:val="00F34702"/>
    <w:rsid w:val="00F35285"/>
    <w:rsid w:val="00F37398"/>
    <w:rsid w:val="00F42BFF"/>
    <w:rsid w:val="00F43B9D"/>
    <w:rsid w:val="00F44D5E"/>
    <w:rsid w:val="00F45756"/>
    <w:rsid w:val="00F45F1B"/>
    <w:rsid w:val="00F53A35"/>
    <w:rsid w:val="00F53DD7"/>
    <w:rsid w:val="00F55A3D"/>
    <w:rsid w:val="00F5744B"/>
    <w:rsid w:val="00F61209"/>
    <w:rsid w:val="00F6259E"/>
    <w:rsid w:val="00F64156"/>
    <w:rsid w:val="00F65DD4"/>
    <w:rsid w:val="00F672B2"/>
    <w:rsid w:val="00F6748B"/>
    <w:rsid w:val="00F7061D"/>
    <w:rsid w:val="00F72750"/>
    <w:rsid w:val="00F731BA"/>
    <w:rsid w:val="00F83973"/>
    <w:rsid w:val="00F854E7"/>
    <w:rsid w:val="00F87FA3"/>
    <w:rsid w:val="00F93D8C"/>
    <w:rsid w:val="00FA3102"/>
    <w:rsid w:val="00FA48D4"/>
    <w:rsid w:val="00FA54FA"/>
    <w:rsid w:val="00FB00C6"/>
    <w:rsid w:val="00FB227E"/>
    <w:rsid w:val="00FB3D61"/>
    <w:rsid w:val="00FB44CE"/>
    <w:rsid w:val="00FB49DD"/>
    <w:rsid w:val="00FB5009"/>
    <w:rsid w:val="00FB76AB"/>
    <w:rsid w:val="00FD03FE"/>
    <w:rsid w:val="00FD126E"/>
    <w:rsid w:val="00FD27CA"/>
    <w:rsid w:val="00FD3C36"/>
    <w:rsid w:val="00FD4D81"/>
    <w:rsid w:val="00FD5D09"/>
    <w:rsid w:val="00FD7498"/>
    <w:rsid w:val="00FD7FB3"/>
    <w:rsid w:val="00FE03A6"/>
    <w:rsid w:val="00FE4713"/>
    <w:rsid w:val="00FE7AF0"/>
    <w:rsid w:val="00FF1F44"/>
    <w:rsid w:val="00FF225E"/>
    <w:rsid w:val="00FF27BC"/>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8A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285"/>
    <w:pPr>
      <w:spacing w:line="480" w:lineRule="auto"/>
    </w:pPr>
    <w:rPr>
      <w:sz w:val="24"/>
      <w:szCs w:val="24"/>
    </w:rPr>
  </w:style>
  <w:style w:type="paragraph" w:styleId="Heading1">
    <w:name w:val="heading 1"/>
    <w:basedOn w:val="Normal"/>
    <w:next w:val="Paragraph"/>
    <w:link w:val="Heading1Char"/>
    <w:uiPriority w:val="9"/>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uiPriority w:val="9"/>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uiPriority w:val="9"/>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uiPriority w:val="9"/>
    <w:qFormat/>
    <w:rsid w:val="00F43B9D"/>
    <w:pPr>
      <w:spacing w:before="360"/>
      <w:outlineLvl w:val="3"/>
    </w:pPr>
    <w:rPr>
      <w:bCs/>
      <w:szCs w:val="28"/>
    </w:rPr>
  </w:style>
  <w:style w:type="paragraph" w:styleId="Heading5">
    <w:name w:val="heading 5"/>
    <w:basedOn w:val="Normal"/>
    <w:next w:val="Normal"/>
    <w:link w:val="Heading5Char"/>
    <w:uiPriority w:val="9"/>
    <w:semiHidden/>
    <w:unhideWhenUsed/>
    <w:qFormat/>
    <w:rsid w:val="000E03BE"/>
    <w:pPr>
      <w:keepNext/>
      <w:keepLines/>
      <w:spacing w:before="240" w:after="80" w:line="276" w:lineRule="auto"/>
      <w:outlineLvl w:val="4"/>
    </w:pPr>
    <w:rPr>
      <w:rFonts w:ascii="Arial" w:eastAsia="Arial" w:hAnsi="Arial" w:cs="Arial"/>
      <w:color w:val="666666"/>
      <w:sz w:val="22"/>
      <w:szCs w:val="22"/>
      <w:lang w:eastAsia="en-US"/>
    </w:rPr>
  </w:style>
  <w:style w:type="paragraph" w:styleId="Heading6">
    <w:name w:val="heading 6"/>
    <w:basedOn w:val="Normal"/>
    <w:next w:val="Normal"/>
    <w:link w:val="Heading6Char"/>
    <w:uiPriority w:val="9"/>
    <w:unhideWhenUsed/>
    <w:qFormat/>
    <w:rsid w:val="000E03BE"/>
    <w:pPr>
      <w:keepNext/>
      <w:keepLines/>
      <w:spacing w:before="240" w:after="80" w:line="276" w:lineRule="auto"/>
      <w:outlineLvl w:val="5"/>
    </w:pPr>
    <w:rPr>
      <w:rFonts w:ascii="Arial" w:eastAsia="Arial" w:hAnsi="Arial" w:cs="Arial"/>
      <w:i/>
      <w:color w:val="666666"/>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0F6161"/>
    <w:pPr>
      <w:ind w:left="284" w:hanging="284"/>
    </w:pPr>
    <w:rPr>
      <w:sz w:val="22"/>
      <w:szCs w:val="20"/>
    </w:rPr>
  </w:style>
  <w:style w:type="character" w:customStyle="1" w:styleId="FootnoteTextChar">
    <w:name w:val="Footnote Text Char"/>
    <w:basedOn w:val="DefaultParagraphFont"/>
    <w:link w:val="FootnoteText"/>
    <w:uiPriority w:val="99"/>
    <w:rsid w:val="000F6161"/>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spacing w:line="240" w:lineRule="auto"/>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uiPriority w:val="99"/>
    <w:rsid w:val="00F02F94"/>
    <w:pPr>
      <w:tabs>
        <w:tab w:val="center" w:pos="4320"/>
        <w:tab w:val="right" w:pos="8640"/>
      </w:tabs>
      <w:spacing w:line="240" w:lineRule="auto"/>
    </w:pPr>
  </w:style>
  <w:style w:type="character" w:customStyle="1" w:styleId="FooterChar">
    <w:name w:val="Footer Char"/>
    <w:basedOn w:val="DefaultParagraphFont"/>
    <w:link w:val="Footer"/>
    <w:uiPriority w:val="99"/>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0E03BE"/>
    <w:rPr>
      <w:color w:val="0000FF" w:themeColor="hyperlink"/>
      <w:u w:val="single"/>
    </w:rPr>
  </w:style>
  <w:style w:type="character" w:styleId="UnresolvedMention">
    <w:name w:val="Unresolved Mention"/>
    <w:basedOn w:val="DefaultParagraphFont"/>
    <w:uiPriority w:val="99"/>
    <w:semiHidden/>
    <w:unhideWhenUsed/>
    <w:rsid w:val="000E03BE"/>
    <w:rPr>
      <w:color w:val="605E5C"/>
      <w:shd w:val="clear" w:color="auto" w:fill="E1DFDD"/>
    </w:rPr>
  </w:style>
  <w:style w:type="character" w:styleId="FollowedHyperlink">
    <w:name w:val="FollowedHyperlink"/>
    <w:basedOn w:val="DefaultParagraphFont"/>
    <w:uiPriority w:val="99"/>
    <w:semiHidden/>
    <w:unhideWhenUsed/>
    <w:rsid w:val="000E03BE"/>
    <w:rPr>
      <w:color w:val="800080" w:themeColor="followedHyperlink"/>
      <w:u w:val="single"/>
    </w:rPr>
  </w:style>
  <w:style w:type="character" w:customStyle="1" w:styleId="Heading5Char">
    <w:name w:val="Heading 5 Char"/>
    <w:basedOn w:val="DefaultParagraphFont"/>
    <w:link w:val="Heading5"/>
    <w:uiPriority w:val="9"/>
    <w:semiHidden/>
    <w:rsid w:val="000E03BE"/>
    <w:rPr>
      <w:rFonts w:ascii="Arial" w:eastAsia="Arial" w:hAnsi="Arial" w:cs="Arial"/>
      <w:color w:val="666666"/>
      <w:sz w:val="22"/>
      <w:szCs w:val="22"/>
      <w:lang w:eastAsia="en-US"/>
    </w:rPr>
  </w:style>
  <w:style w:type="character" w:customStyle="1" w:styleId="Heading6Char">
    <w:name w:val="Heading 6 Char"/>
    <w:basedOn w:val="DefaultParagraphFont"/>
    <w:link w:val="Heading6"/>
    <w:uiPriority w:val="9"/>
    <w:rsid w:val="000E03BE"/>
    <w:rPr>
      <w:rFonts w:ascii="Arial" w:eastAsia="Arial" w:hAnsi="Arial" w:cs="Arial"/>
      <w:i/>
      <w:color w:val="666666"/>
      <w:sz w:val="22"/>
      <w:szCs w:val="22"/>
      <w:lang w:eastAsia="en-US"/>
    </w:rPr>
  </w:style>
  <w:style w:type="paragraph" w:styleId="Title">
    <w:name w:val="Title"/>
    <w:basedOn w:val="Normal"/>
    <w:next w:val="Normal"/>
    <w:link w:val="TitleChar"/>
    <w:uiPriority w:val="10"/>
    <w:qFormat/>
    <w:rsid w:val="000E03BE"/>
    <w:pPr>
      <w:keepNext/>
      <w:keepLines/>
      <w:spacing w:after="60" w:line="276" w:lineRule="auto"/>
    </w:pPr>
    <w:rPr>
      <w:rFonts w:ascii="Arial" w:eastAsia="Arial" w:hAnsi="Arial" w:cs="Arial"/>
      <w:sz w:val="52"/>
      <w:szCs w:val="52"/>
      <w:lang w:eastAsia="en-US"/>
    </w:rPr>
  </w:style>
  <w:style w:type="character" w:customStyle="1" w:styleId="TitleChar">
    <w:name w:val="Title Char"/>
    <w:basedOn w:val="DefaultParagraphFont"/>
    <w:link w:val="Title"/>
    <w:uiPriority w:val="10"/>
    <w:rsid w:val="000E03BE"/>
    <w:rPr>
      <w:rFonts w:ascii="Arial" w:eastAsia="Arial" w:hAnsi="Arial" w:cs="Arial"/>
      <w:sz w:val="52"/>
      <w:szCs w:val="52"/>
      <w:lang w:eastAsia="en-US"/>
    </w:rPr>
  </w:style>
  <w:style w:type="paragraph" w:styleId="Subtitle">
    <w:name w:val="Subtitle"/>
    <w:basedOn w:val="Normal"/>
    <w:next w:val="Normal"/>
    <w:link w:val="SubtitleChar"/>
    <w:uiPriority w:val="11"/>
    <w:qFormat/>
    <w:rsid w:val="000E03BE"/>
    <w:pPr>
      <w:keepNext/>
      <w:keepLines/>
      <w:spacing w:after="320" w:line="276" w:lineRule="auto"/>
    </w:pPr>
    <w:rPr>
      <w:rFonts w:ascii="Arial" w:eastAsia="Arial" w:hAnsi="Arial" w:cs="Arial"/>
      <w:color w:val="666666"/>
      <w:sz w:val="30"/>
      <w:szCs w:val="30"/>
      <w:lang w:eastAsia="en-US"/>
    </w:rPr>
  </w:style>
  <w:style w:type="character" w:customStyle="1" w:styleId="SubtitleChar">
    <w:name w:val="Subtitle Char"/>
    <w:basedOn w:val="DefaultParagraphFont"/>
    <w:link w:val="Subtitle"/>
    <w:uiPriority w:val="11"/>
    <w:rsid w:val="000E03BE"/>
    <w:rPr>
      <w:rFonts w:ascii="Arial" w:eastAsia="Arial" w:hAnsi="Arial" w:cs="Arial"/>
      <w:color w:val="666666"/>
      <w:sz w:val="30"/>
      <w:szCs w:val="30"/>
      <w:lang w:eastAsia="en-US"/>
    </w:rPr>
  </w:style>
  <w:style w:type="paragraph" w:styleId="CommentText">
    <w:name w:val="annotation text"/>
    <w:basedOn w:val="Normal"/>
    <w:link w:val="CommentTextChar"/>
    <w:uiPriority w:val="99"/>
    <w:semiHidden/>
    <w:unhideWhenUsed/>
    <w:rsid w:val="000E03BE"/>
    <w:pPr>
      <w:spacing w:line="240" w:lineRule="auto"/>
    </w:pPr>
    <w:rPr>
      <w:rFonts w:ascii="Arial" w:eastAsia="Arial" w:hAnsi="Arial" w:cs="Arial"/>
      <w:sz w:val="20"/>
      <w:szCs w:val="20"/>
      <w:lang w:eastAsia="en-US"/>
    </w:rPr>
  </w:style>
  <w:style w:type="character" w:customStyle="1" w:styleId="CommentTextChar">
    <w:name w:val="Comment Text Char"/>
    <w:basedOn w:val="DefaultParagraphFont"/>
    <w:link w:val="CommentText"/>
    <w:uiPriority w:val="99"/>
    <w:semiHidden/>
    <w:rsid w:val="000E03BE"/>
    <w:rPr>
      <w:rFonts w:ascii="Arial" w:eastAsia="Arial" w:hAnsi="Arial" w:cs="Arial"/>
      <w:lang w:eastAsia="en-US"/>
    </w:rPr>
  </w:style>
  <w:style w:type="character" w:styleId="CommentReference">
    <w:name w:val="annotation reference"/>
    <w:basedOn w:val="DefaultParagraphFont"/>
    <w:uiPriority w:val="99"/>
    <w:semiHidden/>
    <w:unhideWhenUsed/>
    <w:rsid w:val="000E03BE"/>
    <w:rPr>
      <w:sz w:val="16"/>
      <w:szCs w:val="16"/>
    </w:rPr>
  </w:style>
  <w:style w:type="paragraph" w:styleId="BalloonText">
    <w:name w:val="Balloon Text"/>
    <w:basedOn w:val="Normal"/>
    <w:link w:val="BalloonTextChar"/>
    <w:uiPriority w:val="99"/>
    <w:semiHidden/>
    <w:unhideWhenUsed/>
    <w:rsid w:val="000E03BE"/>
    <w:pPr>
      <w:spacing w:line="240" w:lineRule="auto"/>
    </w:pPr>
    <w:rPr>
      <w:rFonts w:eastAsia="Arial"/>
      <w:sz w:val="18"/>
      <w:szCs w:val="18"/>
      <w:lang w:eastAsia="en-US"/>
    </w:rPr>
  </w:style>
  <w:style w:type="character" w:customStyle="1" w:styleId="BalloonTextChar">
    <w:name w:val="Balloon Text Char"/>
    <w:basedOn w:val="DefaultParagraphFont"/>
    <w:link w:val="BalloonText"/>
    <w:uiPriority w:val="99"/>
    <w:semiHidden/>
    <w:rsid w:val="000E03BE"/>
    <w:rPr>
      <w:rFonts w:eastAsia="Arial"/>
      <w:sz w:val="18"/>
      <w:szCs w:val="18"/>
      <w:lang w:eastAsia="en-US"/>
    </w:rPr>
  </w:style>
  <w:style w:type="paragraph" w:styleId="CommentSubject">
    <w:name w:val="annotation subject"/>
    <w:basedOn w:val="CommentText"/>
    <w:next w:val="CommentText"/>
    <w:link w:val="CommentSubjectChar"/>
    <w:uiPriority w:val="99"/>
    <w:semiHidden/>
    <w:unhideWhenUsed/>
    <w:rsid w:val="000E03BE"/>
    <w:rPr>
      <w:b/>
      <w:bCs/>
    </w:rPr>
  </w:style>
  <w:style w:type="character" w:customStyle="1" w:styleId="CommentSubjectChar">
    <w:name w:val="Comment Subject Char"/>
    <w:basedOn w:val="CommentTextChar"/>
    <w:link w:val="CommentSubject"/>
    <w:uiPriority w:val="99"/>
    <w:semiHidden/>
    <w:rsid w:val="000E03BE"/>
    <w:rPr>
      <w:rFonts w:ascii="Arial" w:eastAsia="Arial" w:hAnsi="Arial" w:cs="Arial"/>
      <w:b/>
      <w:bCs/>
      <w:lang w:eastAsia="en-US"/>
    </w:rPr>
  </w:style>
  <w:style w:type="character" w:styleId="PageNumber">
    <w:name w:val="page number"/>
    <w:basedOn w:val="DefaultParagraphFont"/>
    <w:uiPriority w:val="99"/>
    <w:semiHidden/>
    <w:unhideWhenUsed/>
    <w:rsid w:val="000E03BE"/>
  </w:style>
  <w:style w:type="paragraph" w:styleId="ListParagraph">
    <w:name w:val="List Paragraph"/>
    <w:basedOn w:val="Normal"/>
    <w:uiPriority w:val="34"/>
    <w:qFormat/>
    <w:rsid w:val="000E03BE"/>
    <w:pPr>
      <w:spacing w:line="240" w:lineRule="auto"/>
      <w:ind w:left="720"/>
      <w:contextualSpacing/>
    </w:pPr>
    <w:rPr>
      <w:lang w:val="en-CA" w:eastAsia="en-US"/>
    </w:rPr>
  </w:style>
  <w:style w:type="paragraph" w:styleId="Revision">
    <w:name w:val="Revision"/>
    <w:hidden/>
    <w:uiPriority w:val="99"/>
    <w:semiHidden/>
    <w:rsid w:val="000E03BE"/>
    <w:rPr>
      <w:sz w:val="24"/>
      <w:szCs w:val="24"/>
      <w:lang w:val="en-CA" w:eastAsia="en-US"/>
    </w:rPr>
  </w:style>
  <w:style w:type="paragraph" w:styleId="NormalWeb">
    <w:name w:val="Normal (Web)"/>
    <w:basedOn w:val="Normal"/>
    <w:uiPriority w:val="99"/>
    <w:unhideWhenUsed/>
    <w:rsid w:val="00E40BA1"/>
    <w:pPr>
      <w:spacing w:before="100" w:beforeAutospacing="1" w:after="100" w:afterAutospacing="1" w:line="240" w:lineRule="auto"/>
    </w:pPr>
    <w:rPr>
      <w:lang w:val="en-CA" w:eastAsia="en-US"/>
    </w:rPr>
  </w:style>
  <w:style w:type="character" w:styleId="Strong">
    <w:name w:val="Strong"/>
    <w:basedOn w:val="DefaultParagraphFont"/>
    <w:uiPriority w:val="22"/>
    <w:qFormat/>
    <w:rsid w:val="00E40BA1"/>
    <w:rPr>
      <w:b/>
      <w:bCs/>
    </w:rPr>
  </w:style>
  <w:style w:type="character" w:styleId="Emphasis">
    <w:name w:val="Emphasis"/>
    <w:basedOn w:val="DefaultParagraphFont"/>
    <w:uiPriority w:val="20"/>
    <w:qFormat/>
    <w:rsid w:val="00E40B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851419">
      <w:bodyDiv w:val="1"/>
      <w:marLeft w:val="0"/>
      <w:marRight w:val="0"/>
      <w:marTop w:val="0"/>
      <w:marBottom w:val="0"/>
      <w:divBdr>
        <w:top w:val="none" w:sz="0" w:space="0" w:color="auto"/>
        <w:left w:val="none" w:sz="0" w:space="0" w:color="auto"/>
        <w:bottom w:val="none" w:sz="0" w:space="0" w:color="auto"/>
        <w:right w:val="none" w:sz="0" w:space="0" w:color="auto"/>
      </w:divBdr>
    </w:div>
    <w:div w:id="744030777">
      <w:bodyDiv w:val="1"/>
      <w:marLeft w:val="0"/>
      <w:marRight w:val="0"/>
      <w:marTop w:val="0"/>
      <w:marBottom w:val="0"/>
      <w:divBdr>
        <w:top w:val="none" w:sz="0" w:space="0" w:color="auto"/>
        <w:left w:val="none" w:sz="0" w:space="0" w:color="auto"/>
        <w:bottom w:val="none" w:sz="0" w:space="0" w:color="auto"/>
        <w:right w:val="none" w:sz="0" w:space="0" w:color="auto"/>
      </w:divBdr>
      <w:divsChild>
        <w:div w:id="1544293878">
          <w:marLeft w:val="0"/>
          <w:marRight w:val="0"/>
          <w:marTop w:val="0"/>
          <w:marBottom w:val="0"/>
          <w:divBdr>
            <w:top w:val="none" w:sz="0" w:space="0" w:color="auto"/>
            <w:left w:val="none" w:sz="0" w:space="0" w:color="auto"/>
            <w:bottom w:val="none" w:sz="0" w:space="0" w:color="auto"/>
            <w:right w:val="none" w:sz="0" w:space="0" w:color="auto"/>
          </w:divBdr>
        </w:div>
        <w:div w:id="422343569">
          <w:marLeft w:val="0"/>
          <w:marRight w:val="0"/>
          <w:marTop w:val="0"/>
          <w:marBottom w:val="0"/>
          <w:divBdr>
            <w:top w:val="none" w:sz="0" w:space="0" w:color="auto"/>
            <w:left w:val="none" w:sz="0" w:space="0" w:color="auto"/>
            <w:bottom w:val="none" w:sz="0" w:space="0" w:color="auto"/>
            <w:right w:val="none" w:sz="0" w:space="0" w:color="auto"/>
          </w:divBdr>
        </w:div>
      </w:divsChild>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24341690">
      <w:bodyDiv w:val="1"/>
      <w:marLeft w:val="0"/>
      <w:marRight w:val="0"/>
      <w:marTop w:val="0"/>
      <w:marBottom w:val="0"/>
      <w:divBdr>
        <w:top w:val="none" w:sz="0" w:space="0" w:color="auto"/>
        <w:left w:val="none" w:sz="0" w:space="0" w:color="auto"/>
        <w:bottom w:val="none" w:sz="0" w:space="0" w:color="auto"/>
        <w:right w:val="none" w:sz="0" w:space="0" w:color="auto"/>
      </w:divBdr>
    </w:div>
    <w:div w:id="1105199394">
      <w:bodyDiv w:val="1"/>
      <w:marLeft w:val="0"/>
      <w:marRight w:val="0"/>
      <w:marTop w:val="0"/>
      <w:marBottom w:val="0"/>
      <w:divBdr>
        <w:top w:val="none" w:sz="0" w:space="0" w:color="auto"/>
        <w:left w:val="none" w:sz="0" w:space="0" w:color="auto"/>
        <w:bottom w:val="none" w:sz="0" w:space="0" w:color="auto"/>
        <w:right w:val="none" w:sz="0" w:space="0" w:color="auto"/>
      </w:divBdr>
    </w:div>
    <w:div w:id="1165583645">
      <w:bodyDiv w:val="1"/>
      <w:marLeft w:val="0"/>
      <w:marRight w:val="0"/>
      <w:marTop w:val="0"/>
      <w:marBottom w:val="0"/>
      <w:divBdr>
        <w:top w:val="none" w:sz="0" w:space="0" w:color="auto"/>
        <w:left w:val="none" w:sz="0" w:space="0" w:color="auto"/>
        <w:bottom w:val="none" w:sz="0" w:space="0" w:color="auto"/>
        <w:right w:val="none" w:sz="0" w:space="0" w:color="auto"/>
      </w:divBdr>
    </w:div>
    <w:div w:id="1177039808">
      <w:bodyDiv w:val="1"/>
      <w:marLeft w:val="0"/>
      <w:marRight w:val="0"/>
      <w:marTop w:val="0"/>
      <w:marBottom w:val="0"/>
      <w:divBdr>
        <w:top w:val="none" w:sz="0" w:space="0" w:color="auto"/>
        <w:left w:val="none" w:sz="0" w:space="0" w:color="auto"/>
        <w:bottom w:val="none" w:sz="0" w:space="0" w:color="auto"/>
        <w:right w:val="none" w:sz="0" w:space="0" w:color="auto"/>
      </w:divBdr>
    </w:div>
    <w:div w:id="1794060321">
      <w:bodyDiv w:val="1"/>
      <w:marLeft w:val="0"/>
      <w:marRight w:val="0"/>
      <w:marTop w:val="0"/>
      <w:marBottom w:val="0"/>
      <w:divBdr>
        <w:top w:val="none" w:sz="0" w:space="0" w:color="auto"/>
        <w:left w:val="none" w:sz="0" w:space="0" w:color="auto"/>
        <w:bottom w:val="none" w:sz="0" w:space="0" w:color="auto"/>
        <w:right w:val="none" w:sz="0" w:space="0" w:color="auto"/>
      </w:divBdr>
    </w:div>
    <w:div w:id="1894149261">
      <w:bodyDiv w:val="1"/>
      <w:marLeft w:val="0"/>
      <w:marRight w:val="0"/>
      <w:marTop w:val="0"/>
      <w:marBottom w:val="0"/>
      <w:divBdr>
        <w:top w:val="none" w:sz="0" w:space="0" w:color="auto"/>
        <w:left w:val="none" w:sz="0" w:space="0" w:color="auto"/>
        <w:bottom w:val="none" w:sz="0" w:space="0" w:color="auto"/>
        <w:right w:val="none" w:sz="0" w:space="0" w:color="auto"/>
      </w:divBdr>
    </w:div>
    <w:div w:id="1926574881">
      <w:bodyDiv w:val="1"/>
      <w:marLeft w:val="0"/>
      <w:marRight w:val="0"/>
      <w:marTop w:val="0"/>
      <w:marBottom w:val="0"/>
      <w:divBdr>
        <w:top w:val="none" w:sz="0" w:space="0" w:color="auto"/>
        <w:left w:val="none" w:sz="0" w:space="0" w:color="auto"/>
        <w:bottom w:val="none" w:sz="0" w:space="0" w:color="auto"/>
        <w:right w:val="none" w:sz="0" w:space="0" w:color="auto"/>
      </w:divBdr>
    </w:div>
    <w:div w:id="19828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F088626051984478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risty/Downloads/TF_Template_Word_Mac_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2D026-5476-F24D-BCC2-5F27E06CC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TF_Template_Word_Mac_2011.dotx</Template>
  <TotalTime>0</TotalTime>
  <Pages>14</Pages>
  <Words>7653</Words>
  <Characters>43625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TF_Template_Word_Mac_2011</vt:lpstr>
    </vt:vector>
  </TitlesOfParts>
  <Manager/>
  <Company/>
  <LinksUpToDate>false</LinksUpToDate>
  <CharactersWithSpaces>51176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subject/>
  <dc:creator/>
  <cp:keywords/>
  <dc:description/>
  <cp:lastModifiedBy/>
  <cp:revision>1</cp:revision>
  <cp:lastPrinted>2011-07-22T14:54:00Z</cp:lastPrinted>
  <dcterms:created xsi:type="dcterms:W3CDTF">2020-11-23T23:59:00Z</dcterms:created>
  <dcterms:modified xsi:type="dcterms:W3CDTF">2021-03-22T16:19:00Z</dcterms:modified>
  <cp:category/>
</cp:coreProperties>
</file>